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0"/>
        <w:ind w:left="28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22оз-21 029/06/67-123/2021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20" w:firstLine="0"/>
      </w:pPr>
      <w:r>
        <w:rPr>
          <w:rStyle w:val="CharStyle17"/>
          <w:b/>
          <w:bCs/>
        </w:rPr>
        <w:t>Заказчик :</w:t>
      </w:r>
    </w:p>
    <w:p>
      <w:pPr>
        <w:pStyle w:val="Style3"/>
        <w:framePr w:w="4206" w:h="3662" w:wrap="around" w:vAnchor="text" w:hAnchor="margin" w:x="176" w:y="133"/>
        <w:widowControl w:val="0"/>
        <w:keepNext w:val="0"/>
        <w:keepLines w:val="0"/>
        <w:shd w:val="clear" w:color="auto" w:fill="auto"/>
        <w:bidi w:val="0"/>
        <w:jc w:val="center"/>
        <w:spacing w:before="0" w:after="152" w:line="250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206" w:h="3662" w:wrap="around" w:vAnchor="text" w:hAnchor="margin" w:x="176" w:y="133"/>
        <w:widowControl w:val="0"/>
        <w:keepNext w:val="0"/>
        <w:keepLines w:val="0"/>
        <w:shd w:val="clear" w:color="auto" w:fill="auto"/>
        <w:bidi w:val="0"/>
        <w:jc w:val="center"/>
        <w:spacing w:before="0" w:after="29" w:line="210" w:lineRule="exact"/>
        <w:ind w:left="0" w:right="0" w:firstLine="0"/>
      </w:pPr>
      <w:r>
        <w:rPr>
          <w:rStyle w:val="CharStyle6"/>
          <w:b/>
          <w:bCs/>
          <w:spacing w:val="0"/>
        </w:rPr>
        <w:t>УПРАВЛЕНИЕ</w:t>
      </w:r>
    </w:p>
    <w:p>
      <w:pPr>
        <w:pStyle w:val="Style3"/>
        <w:framePr w:w="4206" w:h="3662" w:wrap="around" w:vAnchor="text" w:hAnchor="margin" w:x="176" w:y="133"/>
        <w:widowControl w:val="0"/>
        <w:keepNext w:val="0"/>
        <w:keepLines w:val="0"/>
        <w:shd w:val="clear" w:color="auto" w:fill="auto"/>
        <w:bidi w:val="0"/>
        <w:jc w:val="center"/>
        <w:spacing w:before="0" w:after="159" w:line="254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Федеральной антимонопольной службы по Архангельской области</w:t>
      </w:r>
    </w:p>
    <w:p>
      <w:pPr>
        <w:pStyle w:val="Style7"/>
        <w:framePr w:w="4206" w:h="3662" w:wrap="around" w:vAnchor="text" w:hAnchor="margin" w:x="176" w:y="133"/>
        <w:widowControl w:val="0"/>
        <w:keepNext w:val="0"/>
        <w:keepLines w:val="0"/>
        <w:shd w:val="clear" w:color="auto" w:fill="auto"/>
        <w:bidi w:val="0"/>
        <w:spacing w:before="0" w:after="4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"mailto:to29@fas.gov.ru" </w:instrText>
      </w:r>
      <w:r>
        <w:fldChar w:fldCharType="separate"/>
      </w:r>
      <w:r>
        <w:rPr>
          <w:rStyle w:val="Hyperlink"/>
          <w:spacing w:val="0"/>
        </w:rPr>
        <w:t>to29@fas.gov.ru</w:t>
      </w:r>
      <w:r>
        <w:fldChar w:fldCharType="end"/>
      </w:r>
    </w:p>
    <w:p>
      <w:pPr>
        <w:pStyle w:val="Style10"/>
        <w:framePr w:w="4206" w:h="3662" w:wrap="around" w:vAnchor="text" w:hAnchor="margin" w:x="176" w:y="133"/>
        <w:tabs>
          <w:tab w:leader="underscore" w:pos="2137" w:val="right"/>
          <w:tab w:leader="none" w:pos="2727" w:val="right"/>
          <w:tab w:leader="none" w:pos="3097" w:val="right"/>
          <w:tab w:leader="none" w:pos="3236" w:val="right"/>
        </w:tabs>
        <w:widowControl w:val="0"/>
        <w:keepNext w:val="0"/>
        <w:keepLines w:val="0"/>
        <w:shd w:val="clear" w:color="auto" w:fill="auto"/>
        <w:bidi w:val="0"/>
        <w:spacing w:before="0" w:after="323" w:line="210" w:lineRule="exact"/>
        <w:ind w:left="20" w:right="0" w:firstLine="0"/>
      </w:pPr>
      <w:r>
        <w:rPr>
          <w:rStyle w:val="CharStyle12"/>
          <w:i w:val="0"/>
          <w:iCs w:val="0"/>
        </w:rPr>
        <w:tab/>
        <w:t xml:space="preserve"> </w:t>
      </w:r>
      <w:r>
        <w:rPr>
          <w:rStyle w:val="CharStyle13"/>
          <w:i w:val="0"/>
          <w:iCs w:val="0"/>
        </w:rPr>
        <w:t>№</w:t>
        <w:tab/>
      </w:r>
      <w:r>
        <w:rPr>
          <w:rStyle w:val="CharStyle14"/>
          <w:lang w:val="ru-RU" w:eastAsia="ru-RU" w:bidi="ru-RU"/>
          <w:i/>
          <w:iCs/>
          <w:spacing w:val="-30"/>
        </w:rPr>
        <w:t>(%'</w:t>
        <w:tab/>
      </w:r>
      <w:r>
        <w:rPr>
          <w:rStyle w:val="CharStyle14"/>
          <w:i/>
          <w:iCs/>
          <w:spacing w:val="-30"/>
        </w:rPr>
        <w:t>OS</w:t>
        <w:tab/>
        <w:t>j</w:t>
      </w:r>
    </w:p>
    <w:p>
      <w:pPr>
        <w:pStyle w:val="Style7"/>
        <w:framePr w:w="4206" w:h="3662" w:wrap="around" w:vAnchor="text" w:hAnchor="margin" w:x="176" w:y="133"/>
        <w:tabs>
          <w:tab w:leader="none" w:pos="21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100" w:right="20" w:firstLine="4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АО "Бюро судебно-медицинской экспертизы"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184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 г, ул Самойло, 21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"mailto:gzbsme@gmail.com"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gzbsme@gmail.com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1100" w:right="20" w:firstLine="0"/>
      </w:pPr>
      <w:r>
        <w:rPr>
          <w:rStyle w:val="CharStyle17"/>
          <w:b/>
          <w:bCs/>
        </w:rPr>
        <w:t>Уполномоченный орган (единая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7"/>
          <w:b/>
          <w:bCs/>
        </w:rPr>
        <w:t>комиссия):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20" w:firstLine="0"/>
      </w:pPr>
      <w:r>
        <w:rPr>
          <w:rStyle w:val="CharStyle20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180" w:line="250" w:lineRule="exact"/>
        <w:ind w:left="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0" w:right="20" w:firstLine="0"/>
      </w:pPr>
      <w:r>
        <w:rPr>
          <w:rStyle w:val="CharStyle17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84" w:line="250" w:lineRule="exact"/>
        <w:ind w:left="53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5380" w:right="0" w:firstLine="0"/>
      </w:pPr>
      <w:r>
        <w:rPr>
          <w:rStyle w:val="CharStyle17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5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«ЕСА Сервис»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00" w:line="245" w:lineRule="exact"/>
        <w:ind w:left="53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191015, Санкт-Петербург, Таврическая ул., д.45, лит. В, пом. 2-Н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"mailto:mail@ecaservice.ru"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mail@ecaservice.ru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3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tabs>
          <w:tab w:leader="none" w:pos="8050" w:val="right"/>
          <w:tab w:leader="none" w:pos="9521" w:val="right"/>
        </w:tabs>
        <w:widowControl w:val="0"/>
        <w:keepNext w:val="0"/>
        <w:keepLines w:val="0"/>
        <w:shd w:val="clear" w:color="auto" w:fill="auto"/>
        <w:bidi w:val="0"/>
        <w:spacing w:before="0" w:after="10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 февраля 2021 года</w:t>
        <w:tab/>
        <w:t>г.</w:t>
        <w:tab/>
        <w:t>Архангельск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3"/>
        </w:rPr>
        <w:t>Председатель комиссии:</w:t>
      </w:r>
    </w:p>
    <w:p>
      <w:pPr>
        <w:pStyle w:val="Style21"/>
        <w:tabs>
          <w:tab w:leader="none" w:pos="8732" w:val="center"/>
        </w:tabs>
        <w:widowControl w:val="0"/>
        <w:keepNext w:val="0"/>
        <w:keepLines w:val="0"/>
        <w:shd w:val="clear" w:color="auto" w:fill="auto"/>
        <w:bidi w:val="0"/>
        <w:spacing w:before="0" w:after="34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 Заместитель руководителя Управления - начальник отдела</w:t>
        <w:tab/>
        <w:t>контроля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6" w:line="190" w:lineRule="exact"/>
        <w:ind w:left="2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rStyle w:val="CharStyle24"/>
          <w:b/>
          <w:bCs/>
        </w:rPr>
        <w:t>Члены комиссии: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Заместитель начальника отдела контроля закупок;</w:t>
      </w:r>
    </w:p>
    <w:p>
      <w:pPr>
        <w:pStyle w:val="Style21"/>
        <w:tabs>
          <w:tab w:leader="none" w:pos="2228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JI.A.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Главный специалист-эксперт отдела контроля закупок;</w:t>
      </w:r>
    </w:p>
    <w:p>
      <w:pPr>
        <w:pStyle w:val="Style21"/>
        <w:tabs>
          <w:tab w:leader="none" w:pos="8482" w:val="center"/>
          <w:tab w:leader="none" w:pos="9096" w:val="center"/>
          <w:tab w:leader="none" w:pos="9521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8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rStyle w:val="CharStyle24"/>
          <w:b/>
          <w:bCs/>
        </w:rPr>
        <w:t>в присутствии представителей от: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rStyle w:val="CharStyle25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Хомицкой П.А. (доверенность от 08.02.2021 № Д-21-028);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Заказчика: Шишкан А.И. (доверенность от 30.10.2020), Бескаравайной И.Г. (доверенность от 12.08.2020);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rStyle w:val="CharStyle25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Анисимова А.А. (доверенность от 06.04.2020 №54-Д);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55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05 февраля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«ЕСА Сервис» (далее - Заявитель) на действия единой комиссии, созданной уполномоченным органом - Контрактным агентством Архангельской области (далее - Уполномоченный орган, единая комиссия), при проведении электронного аукциона на право заключения контракта на поставку расходных материалов для аппаратно- программного комплекса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Agilent GS 7890B-MS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5977В (извещение №0124200000620008051).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" w:line="220" w:lineRule="exact"/>
        <w:ind w:left="20" w:right="0" w:firstLine="700"/>
      </w:pPr>
      <w:r>
        <w:rPr>
          <w:rStyle w:val="CharStyle24"/>
          <w:b/>
          <w:bCs/>
        </w:rPr>
        <w:t>Содержание жалобы: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единой комиссии, созданной уполномоченным органом, в связи с отказом ООО «ЕСА Сервис» в допуске к участию в электронном аукционе по результатам рассмотрения первых частей заявок на участие в электронном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2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09.02.2021 № 314-05-114.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1"/>
        <w:tabs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1"/>
        <w:tabs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21"/>
        <w:tabs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21"/>
        <w:tabs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21"/>
        <w:tabs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17.12.2020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размещено извещение №0124200000620008051 о проведении электронного аукциона и документация об электронном аукционе на право заключения контракта на поставку расходных материалов для аппаратно-программного комплекса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Agilent GS 7890B-MS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5977В (далее - документация об аукционе).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- 134 300,00 рублей.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электронном аукционе от 27.01.2021 было подано 6 заявок, которым были присвоены порядковые номера 191, 18, 157, 165, 147, 152.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изучения материалов дела установлено, что заявка Заявителя была зарегистрирована под номером 165.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 27.01.2021 участнику с порядковым номером заявки 165 было отказано в допуске 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участию в электронном аукционе «на основании пункта 2 части 4 статьи 67 Закона 44-ФЗ: </w:t>
      </w:r>
      <w:r>
        <w:rPr>
          <w:rStyle w:val="CharStyle25"/>
        </w:rPr>
        <w:t xml:space="preserve">несоответствие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информации, предусмотренной подпунктом «б» пункта 2 </w:t>
      </w:r>
      <w:r>
        <w:rPr>
          <w:rStyle w:val="CharStyle26"/>
        </w:rPr>
        <w:t>части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44-ФЗ, требованиям документации о таком аукционе, а именно, не соответствие требованиям, установленным в разделе II «Сведения о товаре, на поставку которого осуществляется закупка, и об условиях контракта» документации об электронном аукционе».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66 ФЗ «О контрактной системе»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1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120" w:right="1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11 «Требования к содержанию и составу заявки на участие в электронном аукционе» раздела I «Общие положения» документации об аукционе установлены аналогичные требования.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88" w:line="259" w:lineRule="exact"/>
        <w:ind w:left="120" w:right="1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 1 раздела II «Сведения о товаре, на поставку которого осуществляется закупка, и об условиях контракта» документации об аукционе содержит таблицу, в которой установлены требования к товарам, в том числе:</w:t>
      </w:r>
    </w:p>
    <w:tbl>
      <w:tblPr>
        <w:tblOverlap w:val="never"/>
        <w:tblLayout w:type="fixed"/>
        <w:jc w:val="center"/>
      </w:tblPr>
      <w:tblGrid>
        <w:gridCol w:w="600"/>
        <w:gridCol w:w="7373"/>
        <w:gridCol w:w="1781"/>
      </w:tblGrid>
      <w:tr>
        <w:trPr>
          <w:trHeight w:val="5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20" w:right="0" w:firstLine="0"/>
            </w:pPr>
            <w:r>
              <w:rPr>
                <w:rStyle w:val="CharStyle27"/>
              </w:rPr>
              <w:t>№</w:t>
            </w:r>
          </w:p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20" w:right="0" w:firstLine="0"/>
            </w:pPr>
            <w:r>
              <w:rPr>
                <w:rStyle w:val="CharStyle28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28"/>
              </w:rPr>
              <w:t>Наименование и технические характеристики товара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20" w:lineRule="exact"/>
              <w:ind w:left="120" w:right="0" w:firstLine="0"/>
            </w:pPr>
            <w:r>
              <w:rPr>
                <w:rStyle w:val="CharStyle28"/>
              </w:rPr>
              <w:t>Каталожный</w:t>
            </w:r>
          </w:p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20" w:lineRule="exact"/>
              <w:ind w:left="120" w:right="0" w:firstLine="0"/>
            </w:pPr>
            <w:r>
              <w:rPr>
                <w:rStyle w:val="CharStyle28"/>
              </w:rPr>
              <w:t>номер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5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5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>• ♦ •</w:t>
            </w:r>
          </w:p>
        </w:tc>
      </w:tr>
      <w:tr>
        <w:trPr>
          <w:trHeight w:val="57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20" w:right="0" w:firstLine="0"/>
            </w:pPr>
            <w:r>
              <w:rPr>
                <w:rStyle w:val="CharStyle27"/>
              </w:rPr>
              <w:t>3.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9" w:lineRule="exact"/>
              <w:ind w:left="0" w:right="0" w:firstLine="0"/>
            </w:pPr>
            <w:r>
              <w:rPr>
                <w:rStyle w:val="CharStyle27"/>
              </w:rPr>
              <w:t>Виала хроматографическая с винтовой резьбой, прозрачное стекло, объемом 2 мл.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7"/>
              </w:rPr>
              <w:t>5182-0714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29" w:line="264" w:lineRule="exact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под таблицей установлено, что приобретаемые расходные материалы должны обеспечить полную совместимость и взаимодействие с уже имеющимся у Заказчика аппаратно-программным комплексом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Agilent GS 7890B-MS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5977В (пункт 1 части 1 статьи 33 ФЗ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1"/>
        <w:tabs>
          <w:tab w:leader="none" w:pos="2976" w:val="center"/>
          <w:tab w:leader="none" w:pos="963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подпункте 3 пункта 8 части 12 «Инструкция по заполнению заявки на участие в электронном аукционе» раздела I «Общие положения» документации об аукционе установлено, что единицы измерения, наименования показателей, технических, функциональных</w:t>
        <w:tab/>
        <w:t>параметров</w:t>
        <w:tab/>
        <w:t>товара должны соответствовать обозначениям,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установленным в документации об электронном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86"/>
        <w:ind w:left="12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подтверждается материалами дела, Заявителем в первой части заявки (заявка №165) предложены, в том числе следующие характеристики товара:</w:t>
      </w:r>
    </w:p>
    <w:tbl>
      <w:tblPr>
        <w:tblOverlap w:val="never"/>
        <w:tblLayout w:type="fixed"/>
        <w:jc w:val="center"/>
      </w:tblPr>
      <w:tblGrid>
        <w:gridCol w:w="605"/>
        <w:gridCol w:w="7373"/>
        <w:gridCol w:w="1776"/>
      </w:tblGrid>
      <w:tr>
        <w:trPr>
          <w:trHeight w:val="82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20" w:right="0" w:firstLine="0"/>
            </w:pPr>
            <w:r>
              <w:rPr>
                <w:rStyle w:val="CharStyle28"/>
              </w:rPr>
              <w:t>№</w:t>
            </w:r>
          </w:p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20" w:right="0" w:firstLine="0"/>
            </w:pPr>
            <w:r>
              <w:rPr>
                <w:rStyle w:val="CharStyle28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28"/>
              </w:rPr>
              <w:t>Наименование товара, каталожный номер, наименование производителя, страна происхождения товара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...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5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. . 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5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28"/>
              </w:rPr>
              <w:t>3.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8"/>
              </w:rPr>
              <w:t>Виала, 5190-9062,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75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анализа заявки Заявителя Комиссией Архангельского УФАС России установлено, что в заявке указан другой каталожный номер, что не соответствует требованиям части 1 раздела II «Сведения о товаре, на поставку которого осуществляется закупка, и об условиях контракта» документации об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67 ФЗ «О контрактной системе» предусмотрено, что аукционная комиссия проверяет первые части заявок на участие в электронном аукционе, содержащие информацию, предусмотренную частью 3 статьи 66 указанного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4 статьи 67 ФЗ «О контрактной системе» участник закупки не допускается к участию в электронном аукционе, в случае: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указанного Федерального закона, или предоставления недостоверной информации;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указанного Федерального закона,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единая комиссия правомерно отказала ООО «ЕСА Сервис» в допуске к участию в электронном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3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456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«ЕСА Сервис» необоснованной.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33"/>
          <w:b/>
          <w:bCs/>
          <w:i/>
          <w:iCs/>
        </w:rPr>
        <w:t>Примечание.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framePr w:h="216" w:wrap="around" w:vAnchor="text" w:hAnchor="margin" w:x="8215" w:y="-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6"/>
          <w:b/>
          <w:bCs/>
          <w:spacing w:val="0"/>
        </w:rPr>
        <w:t>Л.А. Чирова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О.С. Малышева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36" w:left="1081" w:right="1057" w:bottom="6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(5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9">
    <w:name w:val="Основной текст (5) Exact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1">
    <w:name w:val="Основной текст (6) Exact"/>
    <w:basedOn w:val="DefaultParagraphFont"/>
    <w:link w:val="Style10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6"/>
    </w:rPr>
  </w:style>
  <w:style w:type="character" w:customStyle="1" w:styleId="CharStyle12">
    <w:name w:val="Основной текст (6) + 10 pt,Не курсив,Интервал 0 pt Exact"/>
    <w:basedOn w:val="CharStyle11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Основной текст (6) + Palatino Linotype,8 pt,Не курсив,Интервал 0 pt Exact"/>
    <w:basedOn w:val="CharStyle11"/>
    <w:rPr>
      <w:lang w:val="ru-RU" w:eastAsia="ru-RU" w:bidi="ru-RU"/>
      <w:i/>
      <w:iCs/>
      <w:sz w:val="16"/>
      <w:szCs w:val="1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4">
    <w:name w:val="Основной текст (6) Exact"/>
    <w:basedOn w:val="CharStyle11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5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4) + 8 pt,Полужирный"/>
    <w:basedOn w:val="CharStyle19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+ Полужирный"/>
    <w:basedOn w:val="CharStyle22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2)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 + Palatino Linotype,4 pt"/>
    <w:basedOn w:val="CharStyle22"/>
    <w:rPr>
      <w:lang w:val="ru-RU" w:eastAsia="ru-RU" w:bidi="ru-RU"/>
      <w:sz w:val="8"/>
      <w:szCs w:val="8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30">
    <w:name w:val="Основной текст + 9 pt,Полужирный,Интервал 1 pt"/>
    <w:basedOn w:val="CharStyle22"/>
    <w:rPr>
      <w:lang w:val="ru-RU" w:eastAsia="ru-RU" w:bidi="ru-RU"/>
      <w:b/>
      <w:bCs/>
      <w:sz w:val="18"/>
      <w:szCs w:val="18"/>
      <w:w w:val="100"/>
      <w:spacing w:val="3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3">
    <w:name w:val="Основной текст (7)"/>
    <w:basedOn w:val="CharStyle32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16"/>
    <w:pPr>
      <w:widowControl w:val="0"/>
      <w:shd w:val="clear" w:color="auto" w:fill="FFFFFF"/>
      <w:jc w:val="right"/>
      <w:spacing w:before="18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15"/>
    <w:pPr>
      <w:widowControl w:val="0"/>
      <w:shd w:val="clear" w:color="auto" w:fill="FFFFFF"/>
      <w:jc w:val="both"/>
      <w:spacing w:after="180" w:line="25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FFFFFF"/>
      <w:jc w:val="center"/>
      <w:spacing w:before="120" w:after="480" w:line="20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jc w:val="both"/>
      <w:spacing w:before="480" w:after="360"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6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both"/>
      <w:spacing w:after="180" w:line="25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both"/>
      <w:spacing w:before="180"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jc w:val="both"/>
      <w:spacing w:before="540" w:line="230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