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632" w:h="447" w:vSpace="207" w:wrap="around" w:vAnchor="text" w:hAnchor="margin" w:x="561" w:y="680"/>
        <w:widowControl w:val="0"/>
        <w:keepNext w:val="0"/>
        <w:keepLines w:val="0"/>
        <w:shd w:val="clear" w:color="auto" w:fill="auto"/>
        <w:bidi w:val="0"/>
        <w:spacing w:before="0" w:after="0"/>
        <w:ind w:left="0" w:right="0" w:firstLine="0"/>
      </w:pPr>
      <w:r>
        <w:rPr>
          <w:rStyle w:val="CharStyle5"/>
          <w:spacing w:val="0"/>
        </w:rPr>
        <w:t>ФЕДЕРАЛЬНАЯ АНТИМОНОПОЛЬНАЯ СЛУЖБА</w:t>
      </w:r>
    </w:p>
    <w:p>
      <w:pPr>
        <w:pStyle w:val="Style6"/>
        <w:widowControl w:val="0"/>
        <w:keepNext w:val="0"/>
        <w:keepLines w:val="0"/>
        <w:shd w:val="clear" w:color="auto" w:fill="auto"/>
        <w:bidi w:val="0"/>
        <w:jc w:val="left"/>
        <w:spacing w:before="0" w:after="0"/>
        <w:ind w:left="0" w:right="0" w:firstLine="4660"/>
      </w:pPr>
      <w:r>
        <w:rPr>
          <w:lang w:val="ru-RU" w:eastAsia="ru-RU" w:bidi="ru-RU"/>
          <w:w w:val="100"/>
          <w:spacing w:val="0"/>
          <w:color w:val="000000"/>
          <w:position w:val="0"/>
        </w:rPr>
        <w:t>Общество с ограниченной ответственностью «Виктория» (далее - Заявитель)</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пр. Ленина, д.20/18, пом.2, г. Новошахтинск, Ростовская область 346919</w:t>
      </w:r>
    </w:p>
    <w:p>
      <w:pPr>
        <w:pStyle w:val="Style6"/>
        <w:widowControl w:val="0"/>
        <w:keepNext w:val="0"/>
        <w:keepLines w:val="0"/>
        <w:shd w:val="clear" w:color="auto" w:fill="auto"/>
        <w:bidi w:val="0"/>
        <w:jc w:val="left"/>
        <w:spacing w:before="0" w:after="0" w:line="230" w:lineRule="exact"/>
        <w:ind w:left="1500" w:right="0" w:firstLine="0"/>
      </w:pPr>
      <w:r>
        <w:rPr>
          <w:rStyle w:val="CharStyle12"/>
          <w:b/>
          <w:bCs/>
        </w:rPr>
        <w:t>УПРАВЛЕНИЕ</w:t>
      </w:r>
    </w:p>
    <w:p>
      <w:pPr>
        <w:pStyle w:val="Style6"/>
        <w:framePr w:h="233" w:wrap="around" w:vAnchor="text" w:hAnchor="margin" w:x="928" w:y="296"/>
        <w:widowControl w:val="0"/>
        <w:keepNext w:val="0"/>
        <w:keepLines w:val="0"/>
        <w:shd w:val="clear" w:color="auto" w:fill="auto"/>
        <w:bidi w:val="0"/>
        <w:jc w:val="left"/>
        <w:spacing w:before="0" w:after="0" w:line="210" w:lineRule="exact"/>
        <w:ind w:left="100" w:right="0" w:firstLine="0"/>
      </w:pPr>
      <w:r>
        <w:rPr>
          <w:rStyle w:val="CharStyle8"/>
          <w:b/>
          <w:bCs/>
          <w:spacing w:val="0"/>
        </w:rPr>
        <w:t>по Ростовской области</w:t>
      </w:r>
    </w:p>
    <w:p>
      <w:pPr>
        <w:pStyle w:val="Style10"/>
        <w:widowControl w:val="0"/>
        <w:keepNext w:val="0"/>
        <w:keepLines w:val="0"/>
        <w:shd w:val="clear" w:color="auto" w:fill="auto"/>
        <w:bidi w:val="0"/>
        <w:spacing w:before="0" w:after="17" w:line="230" w:lineRule="exact"/>
        <w:ind w:left="0" w:right="0" w:firstLine="0"/>
      </w:pPr>
      <w:r>
        <w:rPr>
          <w:rStyle w:val="CharStyle13"/>
        </w:rPr>
        <w:t xml:space="preserve">Федеральной антимонопольной </w:t>
      </w:r>
      <w:r>
        <w:rPr>
          <w:rStyle w:val="CharStyle14"/>
        </w:rPr>
        <w:t xml:space="preserve">службьТелефон: </w:t>
      </w:r>
      <w:r>
        <w:rPr>
          <w:lang w:val="ru-RU" w:eastAsia="ru-RU" w:bidi="ru-RU"/>
          <w:w w:val="100"/>
          <w:spacing w:val="0"/>
          <w:color w:val="000000"/>
          <w:position w:val="0"/>
        </w:rPr>
        <w:t>(961) 308-46-91</w:t>
      </w:r>
    </w:p>
    <w:p>
      <w:pPr>
        <w:pStyle w:val="Style10"/>
        <w:widowControl w:val="0"/>
        <w:keepNext w:val="0"/>
        <w:keepLines w:val="0"/>
        <w:shd w:val="clear" w:color="auto" w:fill="auto"/>
        <w:bidi w:val="0"/>
        <w:spacing w:before="0" w:after="0" w:line="230" w:lineRule="exact"/>
        <w:ind w:left="0" w:right="0" w:firstLine="0"/>
        <w:sectPr>
          <w:footnotePr>
            <w:pos w:val="pageBottom"/>
            <w:numFmt w:val="decimal"/>
            <w:numRestart w:val="continuous"/>
          </w:footnotePr>
          <w:type w:val="continuous"/>
          <w:pgSz w:w="11906" w:h="16838"/>
          <w:pgMar w:top="0" w:left="951" w:right="2258" w:bottom="29"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rStyle w:val="CharStyle15"/>
        </w:rPr>
        <w:instrText> HYPERLINK "mailto:oooviktoria@yandex.ru" </w:instrText>
      </w:r>
      <w:r>
        <w:fldChar w:fldCharType="separate"/>
      </w:r>
      <w:r>
        <w:rPr>
          <w:rStyle w:val="Hyperlink"/>
        </w:rPr>
        <w:t>oooviktoria@yandex.ru</w:t>
      </w:r>
      <w:r>
        <w:fldChar w:fldCharType="end"/>
      </w:r>
    </w:p>
    <w:p>
      <w:pPr>
        <w:widowControl w:val="0"/>
        <w:spacing w:line="49"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00" w:wrap="around" w:vAnchor="text" w:hAnchor="margin" w:x="-147" w:y="1687"/>
        <w:widowControl w:val="0"/>
        <w:keepNext w:val="0"/>
        <w:keepLines w:val="0"/>
        <w:shd w:val="clear" w:color="auto" w:fill="auto"/>
        <w:bidi w:val="0"/>
        <w:jc w:val="left"/>
        <w:spacing w:before="0" w:after="0" w:line="200" w:lineRule="exact"/>
        <w:ind w:left="0" w:right="0" w:firstLine="0"/>
      </w:pPr>
      <w:r>
        <w:rPr>
          <w:rStyle w:val="CharStyle16"/>
          <w:spacing w:val="0"/>
        </w:rPr>
        <w:t>На №</w:t>
      </w:r>
    </w:p>
    <w:p>
      <w:pPr>
        <w:widowControl w:val="0"/>
        <w:rPr>
          <w:sz w:val="2"/>
          <w:szCs w:val="2"/>
        </w:rPr>
      </w:pPr>
    </w:p>
    <w:p>
      <w:pPr>
        <w:pStyle w:val="Style17"/>
        <w:widowControl w:val="0"/>
        <w:keepNext w:val="0"/>
        <w:keepLines w:val="0"/>
        <w:shd w:val="clear" w:color="auto" w:fill="auto"/>
        <w:bidi w:val="0"/>
        <w:spacing w:before="0" w:after="770"/>
        <w:ind w:left="0" w:right="0" w:firstLine="0"/>
      </w:pPr>
      <w:r>
        <w:rPr>
          <w:rStyle w:val="CharStyle19"/>
          <w:b/>
          <w:bCs/>
        </w:rPr>
        <w:t xml:space="preserve">пр. Ворошиловский, 2/2, офис 403 г. Ростов-на-Дону, 344006 тел. (863) 263-31-04, факс (863) 240-99-59 </w:t>
      </w:r>
      <w:r>
        <w:rPr>
          <w:rStyle w:val="CharStyle19"/>
          <w:lang w:val="en-US" w:eastAsia="en-US" w:bidi="en-US"/>
          <w:b/>
          <w:bCs/>
        </w:rPr>
        <w:t xml:space="preserve">e-mail: </w:t>
      </w:r>
      <w:r>
        <w:fldChar w:fldCharType="begin"/>
      </w:r>
      <w:r>
        <w:rPr>
          <w:rStyle w:val="CharStyle19"/>
        </w:rPr>
        <w:instrText> HYPERLINK "mailto:to61@fas.gov.ru" </w:instrText>
      </w:r>
      <w:r>
        <w:fldChar w:fldCharType="separate"/>
      </w:r>
      <w:r>
        <w:rPr>
          <w:rStyle w:val="Hyperlink"/>
          <w:lang w:val="en-US" w:eastAsia="en-US" w:bidi="en-US"/>
          <w:b/>
          <w:bCs/>
        </w:rPr>
        <w:t>to61@fas.gov.ru</w:t>
      </w:r>
      <w:r>
        <w:fldChar w:fldCharType="end"/>
      </w:r>
    </w:p>
    <w:p>
      <w:pPr>
        <w:pStyle w:val="Style3"/>
        <w:widowControl w:val="0"/>
        <w:keepNext w:val="0"/>
        <w:keepLines w:val="0"/>
        <w:shd w:val="clear" w:color="auto" w:fill="auto"/>
        <w:bidi w:val="0"/>
        <w:jc w:val="left"/>
        <w:spacing w:before="0" w:after="0" w:line="200" w:lineRule="exact"/>
        <w:ind w:left="1140" w:right="0" w:firstLine="0"/>
      </w:pPr>
      <w:r>
        <w:rPr>
          <w:rStyle w:val="CharStyle21"/>
        </w:rPr>
        <w:t>от</w:t>
      </w:r>
    </w:p>
    <w:p>
      <w:pPr>
        <w:pStyle w:val="Style10"/>
        <w:widowControl w:val="0"/>
        <w:keepNext w:val="0"/>
        <w:keepLines w:val="0"/>
        <w:shd w:val="clear" w:color="auto" w:fill="auto"/>
        <w:bidi w:val="0"/>
        <w:jc w:val="left"/>
        <w:spacing w:before="0" w:after="261" w:line="230" w:lineRule="exact"/>
        <w:ind w:left="20" w:right="0" w:firstLine="0"/>
      </w:pPr>
      <w:r>
        <w:rPr>
          <w:lang w:val="ru-RU" w:eastAsia="ru-RU" w:bidi="ru-RU"/>
          <w:w w:val="100"/>
          <w:spacing w:val="0"/>
          <w:color w:val="000000"/>
          <w:position w:val="0"/>
        </w:rPr>
        <w:t>ИНН: 6155075320</w:t>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Муниципальное бюджетное дошкольное образовательное учреждение Детский сад №3 (далее - Заказчик)</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Бабушкина, д.65/15, г. Новочеркасск,</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Ростовская область</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346408</w:t>
      </w:r>
    </w:p>
    <w:p>
      <w:pPr>
        <w:pStyle w:val="Style10"/>
        <w:widowControl w:val="0"/>
        <w:keepNext w:val="0"/>
        <w:keepLines w:val="0"/>
        <w:shd w:val="clear" w:color="auto" w:fill="auto"/>
        <w:bidi w:val="0"/>
        <w:jc w:val="left"/>
        <w:spacing w:before="0" w:after="0"/>
        <w:ind w:left="20" w:right="0" w:firstLine="0"/>
        <w:sectPr>
          <w:type w:val="continuous"/>
          <w:pgSz w:w="11906" w:h="16838"/>
          <w:pgMar w:top="0" w:left="1592" w:right="1887" w:bottom="0" w:header="0" w:footer="3" w:gutter="0"/>
          <w:rtlGutter w:val="0"/>
          <w:cols w:num="2" w:space="720" w:equalWidth="0">
            <w:col w:w="3398" w:space="598"/>
            <w:col w:w="4432"/>
          </w:cols>
          <w:noEndnote/>
          <w:docGrid w:linePitch="360"/>
        </w:sectPr>
      </w:pPr>
      <w:r>
        <w:rPr>
          <w:lang w:val="en-US" w:eastAsia="en-US" w:bidi="en-US"/>
          <w:w w:val="100"/>
          <w:spacing w:val="0"/>
          <w:color w:val="000000"/>
          <w:position w:val="0"/>
        </w:rPr>
        <w:t xml:space="preserve">Email: </w:t>
      </w:r>
      <w:r>
        <w:fldChar w:fldCharType="begin"/>
      </w:r>
      <w:r>
        <w:rPr>
          <w:rStyle w:val="CharStyle15"/>
        </w:rPr>
        <w:instrText> HYPERLINK "mailto:mbdoy3@rambler.ru" </w:instrText>
      </w:r>
      <w:r>
        <w:fldChar w:fldCharType="separate"/>
      </w:r>
      <w:r>
        <w:rPr>
          <w:rStyle w:val="Hyperlink"/>
        </w:rPr>
        <w:t>mbdoy3@rambler.ru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Телефон: </w:t>
      </w:r>
      <w:r>
        <w:rPr>
          <w:lang w:val="en-US" w:eastAsia="en-US" w:bidi="en-US"/>
          <w:w w:val="100"/>
          <w:spacing w:val="0"/>
          <w:color w:val="000000"/>
          <w:position w:val="0"/>
        </w:rPr>
        <w:t>(863) 521-08-45</w:t>
      </w:r>
    </w:p>
    <w:p>
      <w:pPr>
        <w:widowControl w:val="0"/>
        <w:spacing w:before="17" w:after="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ind w:left="4580" w:right="1480" w:firstLine="0"/>
      </w:pPr>
      <w:r>
        <w:rPr>
          <w:lang w:val="ru-RU" w:eastAsia="ru-RU" w:bidi="ru-RU"/>
          <w:w w:val="100"/>
          <w:spacing w:val="0"/>
          <w:color w:val="000000"/>
          <w:position w:val="0"/>
        </w:rPr>
        <w:t>Правительство Ростовской области (далее - Привлеченное лицо)</w:t>
      </w:r>
    </w:p>
    <w:p>
      <w:pPr>
        <w:pStyle w:val="Style10"/>
        <w:widowControl w:val="0"/>
        <w:keepNext w:val="0"/>
        <w:keepLines w:val="0"/>
        <w:shd w:val="clear" w:color="auto" w:fill="auto"/>
        <w:bidi w:val="0"/>
        <w:jc w:val="left"/>
        <w:spacing w:before="0" w:after="0"/>
        <w:ind w:left="4580" w:right="480" w:firstLine="0"/>
      </w:pPr>
      <w:r>
        <w:rPr>
          <w:lang w:val="ru-RU" w:eastAsia="ru-RU" w:bidi="ru-RU"/>
          <w:w w:val="100"/>
          <w:spacing w:val="0"/>
          <w:color w:val="000000"/>
          <w:position w:val="0"/>
        </w:rPr>
        <w:t>ул. Социалистическая, д.112, г. Ростов-на-Дону 344050</w:t>
      </w:r>
    </w:p>
    <w:p>
      <w:pPr>
        <w:pStyle w:val="Style10"/>
        <w:widowControl w:val="0"/>
        <w:keepNext w:val="0"/>
        <w:keepLines w:val="0"/>
        <w:shd w:val="clear" w:color="auto" w:fill="auto"/>
        <w:bidi w:val="0"/>
        <w:jc w:val="left"/>
        <w:spacing w:before="0" w:after="240"/>
        <w:ind w:left="4580" w:right="0" w:firstLine="0"/>
      </w:pPr>
      <w:r>
        <w:rPr>
          <w:lang w:val="en-US" w:eastAsia="en-US" w:bidi="en-US"/>
          <w:w w:val="100"/>
          <w:spacing w:val="0"/>
          <w:color w:val="000000"/>
          <w:position w:val="0"/>
        </w:rPr>
        <w:t xml:space="preserve">Email: </w:t>
      </w:r>
      <w:r>
        <w:fldChar w:fldCharType="begin"/>
      </w:r>
      <w:r>
        <w:rPr>
          <w:rStyle w:val="CharStyle15"/>
        </w:rPr>
        <w:instrText> HYPERLINK "mailto:ufas@donland.ru" </w:instrText>
      </w:r>
      <w:r>
        <w:fldChar w:fldCharType="separate"/>
      </w:r>
      <w:r>
        <w:rPr>
          <w:rStyle w:val="Hyperlink"/>
        </w:rPr>
        <w:t>ufas@donland.ru</w:t>
      </w:r>
      <w:r>
        <w:fldChar w:fldCharType="end"/>
      </w:r>
    </w:p>
    <w:p>
      <w:pPr>
        <w:pStyle w:val="Style6"/>
        <w:widowControl w:val="0"/>
        <w:keepNext w:val="0"/>
        <w:keepLines w:val="0"/>
        <w:shd w:val="clear" w:color="auto" w:fill="auto"/>
        <w:bidi w:val="0"/>
        <w:jc w:val="left"/>
        <w:spacing w:before="0" w:after="0"/>
        <w:ind w:left="4580" w:right="480" w:firstLine="0"/>
      </w:pPr>
      <w:r>
        <w:rPr>
          <w:lang w:val="ru-RU" w:eastAsia="ru-RU" w:bidi="ru-RU"/>
          <w:w w:val="100"/>
          <w:spacing w:val="0"/>
          <w:color w:val="000000"/>
          <w:position w:val="0"/>
        </w:rPr>
        <w:t>Национальная электронная площадка (далее - оператор)</w:t>
      </w:r>
    </w:p>
    <w:p>
      <w:pPr>
        <w:pStyle w:val="Style10"/>
        <w:widowControl w:val="0"/>
        <w:keepNext w:val="0"/>
        <w:keepLines w:val="0"/>
        <w:shd w:val="clear" w:color="auto" w:fill="auto"/>
        <w:bidi w:val="0"/>
        <w:jc w:val="left"/>
        <w:spacing w:before="0" w:after="777"/>
        <w:ind w:left="4580" w:right="0" w:firstLine="0"/>
      </w:pPr>
      <w:r>
        <w:rPr>
          <w:lang w:val="en-US" w:eastAsia="en-US" w:bidi="en-US"/>
          <w:w w:val="100"/>
          <w:spacing w:val="0"/>
          <w:color w:val="000000"/>
          <w:position w:val="0"/>
        </w:rPr>
        <w:t xml:space="preserve">Email: </w:t>
      </w:r>
      <w:r>
        <w:fldChar w:fldCharType="begin"/>
      </w:r>
      <w:r>
        <w:rPr>
          <w:rStyle w:val="CharStyle15"/>
        </w:rPr>
        <w:instrText> HYPERLINK "mailto:auditors@etpz.ru" </w:instrText>
      </w:r>
      <w:r>
        <w:fldChar w:fldCharType="separate"/>
      </w:r>
      <w:r>
        <w:rPr>
          <w:rStyle w:val="Hyperlink"/>
        </w:rPr>
        <w:t>auditors@etpz.ru</w:t>
      </w:r>
      <w:r>
        <w:fldChar w:fldCharType="end"/>
      </w:r>
    </w:p>
    <w:p>
      <w:pPr>
        <w:pStyle w:val="Style6"/>
        <w:widowControl w:val="0"/>
        <w:keepNext w:val="0"/>
        <w:keepLines w:val="0"/>
        <w:shd w:val="clear" w:color="auto" w:fill="auto"/>
        <w:bidi w:val="0"/>
        <w:jc w:val="center"/>
        <w:spacing w:before="0" w:after="278" w:line="277" w:lineRule="exact"/>
        <w:ind w:left="20" w:right="0" w:firstLine="0"/>
      </w:pPr>
      <w:r>
        <w:rPr>
          <w:rStyle w:val="CharStyle24"/>
          <w:b/>
          <w:bCs/>
        </w:rPr>
        <w:t xml:space="preserve">РЕШЕНИЕ </w:t>
      </w:r>
      <w:r>
        <w:rPr>
          <w:lang w:val="ru-RU" w:eastAsia="ru-RU" w:bidi="ru-RU"/>
          <w:w w:val="100"/>
          <w:spacing w:val="0"/>
          <w:color w:val="000000"/>
          <w:position w:val="0"/>
        </w:rPr>
        <w:t>по результатам рассмотрения дела №061/06/54.3-268/2021</w:t>
      </w:r>
    </w:p>
    <w:p>
      <w:pPr>
        <w:pStyle w:val="Style10"/>
        <w:tabs>
          <w:tab w:leader="none" w:pos="8034" w:val="left"/>
        </w:tabs>
        <w:widowControl w:val="0"/>
        <w:keepNext w:val="0"/>
        <w:keepLines w:val="0"/>
        <w:shd w:val="clear" w:color="auto" w:fill="auto"/>
        <w:bidi w:val="0"/>
        <w:jc w:val="both"/>
        <w:spacing w:before="0" w:after="222" w:line="230" w:lineRule="exact"/>
        <w:ind w:left="20" w:right="0" w:firstLine="0"/>
      </w:pPr>
      <w:r>
        <w:rPr>
          <w:lang w:val="ru-RU" w:eastAsia="ru-RU" w:bidi="ru-RU"/>
          <w:w w:val="100"/>
          <w:spacing w:val="0"/>
          <w:color w:val="000000"/>
          <w:position w:val="0"/>
        </w:rPr>
        <w:t>12.02.2021</w:t>
        <w:tab/>
        <w:t>г. Ростов-на-Дону</w:t>
      </w:r>
    </w:p>
    <w:p>
      <w:pPr>
        <w:pStyle w:val="Style10"/>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0"/>
        <w:tabs>
          <w:tab w:leader="none" w:pos="8624" w:val="right"/>
          <w:tab w:leader="none" w:pos="9819" w:val="right"/>
        </w:tabs>
        <w:widowControl w:val="0"/>
        <w:keepNext w:val="0"/>
        <w:keepLines w:val="0"/>
        <w:shd w:val="clear" w:color="auto" w:fill="auto"/>
        <w:bidi w:val="0"/>
        <w:jc w:val="both"/>
        <w:spacing w:before="0" w:after="0" w:line="270" w:lineRule="exact"/>
        <w:ind w:left="20" w:right="0" w:firstLine="0"/>
      </w:pPr>
      <w:r>
        <w:rPr>
          <w:lang w:val="ru-RU" w:eastAsia="ru-RU" w:bidi="ru-RU"/>
          <w:w w:val="100"/>
          <w:spacing w:val="0"/>
          <w:color w:val="000000"/>
          <w:position w:val="0"/>
        </w:rPr>
        <w:t>Председатель Комиссии:</w:t>
        <w:tab/>
        <w:t>М.А.</w:t>
        <w:tab/>
        <w:t>Благодарев,</w:t>
      </w:r>
    </w:p>
    <w:p>
      <w:pPr>
        <w:pStyle w:val="Style10"/>
        <w:tabs>
          <w:tab w:leader="none" w:pos="9819" w:val="right"/>
        </w:tabs>
        <w:widowControl w:val="0"/>
        <w:keepNext w:val="0"/>
        <w:keepLines w:val="0"/>
        <w:shd w:val="clear" w:color="auto" w:fill="auto"/>
        <w:bidi w:val="0"/>
        <w:jc w:val="both"/>
        <w:spacing w:before="0" w:after="0" w:line="270" w:lineRule="exact"/>
        <w:ind w:left="20" w:right="0" w:firstLine="0"/>
      </w:pPr>
      <w:r>
        <w:rPr>
          <w:lang w:val="ru-RU" w:eastAsia="ru-RU" w:bidi="ru-RU"/>
          <w:w w:val="100"/>
          <w:spacing w:val="0"/>
          <w:color w:val="000000"/>
          <w:position w:val="0"/>
        </w:rPr>
        <w:t>Члены Комиссии:</w:t>
        <w:tab/>
        <w:t>С.А. Иванкова,</w:t>
      </w:r>
    </w:p>
    <w:p>
      <w:pPr>
        <w:pStyle w:val="Style10"/>
        <w:widowControl w:val="0"/>
        <w:keepNext w:val="0"/>
        <w:keepLines w:val="0"/>
        <w:shd w:val="clear" w:color="auto" w:fill="auto"/>
        <w:bidi w:val="0"/>
        <w:jc w:val="left"/>
        <w:spacing w:before="0" w:after="240" w:line="270" w:lineRule="exact"/>
        <w:ind w:left="8120" w:right="0" w:firstLine="0"/>
      </w:pPr>
      <w:r>
        <w:rPr>
          <w:lang w:val="ru-RU" w:eastAsia="ru-RU" w:bidi="ru-RU"/>
          <w:w w:val="100"/>
          <w:spacing w:val="0"/>
          <w:color w:val="000000"/>
          <w:position w:val="0"/>
        </w:rPr>
        <w:t>Ю.Р. Дедух,</w:t>
      </w:r>
    </w:p>
    <w:p>
      <w:pPr>
        <w:pStyle w:val="Style10"/>
        <w:widowControl w:val="0"/>
        <w:keepNext w:val="0"/>
        <w:keepLines w:val="0"/>
        <w:shd w:val="clear" w:color="auto" w:fill="auto"/>
        <w:bidi w:val="0"/>
        <w:jc w:val="both"/>
        <w:spacing w:before="0" w:after="708" w:line="270" w:lineRule="exact"/>
        <w:ind w:left="20" w:right="20" w:firstLine="0"/>
      </w:pPr>
      <w:r>
        <w:rPr>
          <w:lang w:val="ru-RU" w:eastAsia="ru-RU" w:bidi="ru-RU"/>
          <w:w w:val="100"/>
          <w:spacing w:val="0"/>
          <w:color w:val="000000"/>
          <w:position w:val="0"/>
        </w:rPr>
        <w:t>рассмотрев дело №061/06/54.3-268/2021 по жалобе Заявителя о нарушении Заказчиком при проведении совместного конкурса с ограниченным участием в электронной форме №0358300447220000005 «Поставка продуктов питания (Сметана, сыр)» (далее - конкурс)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по</w:t>
      </w:r>
    </w:p>
    <w:p>
      <w:pPr>
        <w:pStyle w:val="Style25"/>
        <w:widowControl w:val="0"/>
        <w:keepNext/>
        <w:keepLines/>
        <w:shd w:val="clear" w:color="auto" w:fill="auto"/>
        <w:bidi w:val="0"/>
        <w:spacing w:before="0" w:after="0" w:line="360" w:lineRule="exact"/>
        <w:ind w:left="0" w:right="180" w:firstLine="0"/>
      </w:pPr>
      <w:bookmarkStart w:id="0" w:name="bookmark0"/>
      <w:r>
        <w:rPr>
          <w:lang w:val="ru-RU" w:eastAsia="ru-RU" w:bidi="ru-RU"/>
          <w:w w:val="100"/>
          <w:spacing w:val="0"/>
          <w:color w:val="000000"/>
          <w:position w:val="0"/>
        </w:rPr>
        <w:t>018325</w:t>
      </w:r>
      <w:bookmarkEnd w:id="0"/>
      <w:r>
        <w:br w:type="page"/>
      </w:r>
    </w:p>
    <w:p>
      <w:pPr>
        <w:pStyle w:val="Style10"/>
        <w:widowControl w:val="0"/>
        <w:keepNext w:val="0"/>
        <w:keepLines w:val="0"/>
        <w:shd w:val="clear" w:color="auto" w:fill="auto"/>
        <w:bidi w:val="0"/>
        <w:jc w:val="both"/>
        <w:spacing w:before="0" w:after="267"/>
        <w:ind w:left="20" w:right="20" w:firstLine="0"/>
      </w:pPr>
      <w:r>
        <w:rPr>
          <w:lang w:val="ru-RU" w:eastAsia="ru-RU" w:bidi="ru-RU"/>
          <w:w w:val="100"/>
          <w:spacing w:val="0"/>
          <w:color w:val="000000"/>
          <w:position w:val="0"/>
        </w:rPr>
        <w:t>доверенности - Павельева Н.Н. (доверенность от 10.02.2021 №б/н), без участия представителя Заказчика, уведомленного надлежащим образом,</w:t>
      </w:r>
    </w:p>
    <w:p>
      <w:pPr>
        <w:pStyle w:val="Style27"/>
        <w:widowControl w:val="0"/>
        <w:keepNext/>
        <w:keepLines/>
        <w:shd w:val="clear" w:color="auto" w:fill="auto"/>
        <w:bidi w:val="0"/>
        <w:spacing w:before="0" w:after="206" w:line="240" w:lineRule="exact"/>
        <w:ind w:left="0" w:right="0" w:firstLine="0"/>
      </w:pPr>
      <w:bookmarkStart w:id="1" w:name="bookmark1"/>
      <w:r>
        <w:rPr>
          <w:lang w:val="ru-RU" w:eastAsia="ru-RU" w:bidi="ru-RU"/>
          <w:sz w:val="24"/>
          <w:szCs w:val="24"/>
          <w:w w:val="100"/>
          <w:spacing w:val="0"/>
          <w:color w:val="000000"/>
          <w:position w:val="0"/>
        </w:rPr>
        <w:t>УСТАНОВИЛА:</w:t>
      </w:r>
      <w:bookmarkEnd w:id="1"/>
    </w:p>
    <w:p>
      <w:pPr>
        <w:pStyle w:val="Style1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Ростовское УФАС России поступила жалоба ООО «Виктория» в которой обжалуются положения конкурсной документации, размещенной Муниципальным бюджетным дошкольным образовательным учреждением детский сад №3 в целях проведения совместной закупки. По мнению Заявителя, конкурсная документация составлена с нарушениями законодательства о контрактной системе в сфере закупок.</w:t>
      </w:r>
    </w:p>
    <w:p>
      <w:pPr>
        <w:pStyle w:val="Style10"/>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11.02.2020 №25) на жалобу:</w:t>
      </w:r>
    </w:p>
    <w:p>
      <w:pPr>
        <w:pStyle w:val="Style10"/>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-отрицал нарушения норм Закона в конкурсной документации;</w:t>
      </w:r>
    </w:p>
    <w:p>
      <w:pPr>
        <w:pStyle w:val="Style10"/>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обоснование установления требований к участникам закупки;</w:t>
      </w:r>
    </w:p>
    <w:p>
      <w:pPr>
        <w:pStyle w:val="Style10"/>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10"/>
        <w:widowControl w:val="0"/>
        <w:keepNext w:val="0"/>
        <w:keepLines w:val="0"/>
        <w:shd w:val="clear" w:color="auto" w:fill="auto"/>
        <w:bidi w:val="0"/>
        <w:jc w:val="both"/>
        <w:spacing w:before="0" w:after="246"/>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0"/>
        <w:widowControl w:val="0"/>
        <w:keepNext w:val="0"/>
        <w:keepLines w:val="0"/>
        <w:shd w:val="clear" w:color="auto" w:fill="auto"/>
        <w:bidi w:val="0"/>
        <w:jc w:val="both"/>
        <w:spacing w:before="0" w:after="0" w:line="266" w:lineRule="exact"/>
        <w:ind w:left="20" w:right="20" w:firstLine="720"/>
      </w:pPr>
      <w:r>
        <w:rPr>
          <w:lang w:val="ru-RU" w:eastAsia="ru-RU" w:bidi="ru-RU"/>
          <w:w w:val="100"/>
          <w:spacing w:val="0"/>
          <w:color w:val="000000"/>
          <w:position w:val="0"/>
        </w:rPr>
        <w:t>Согласно «Извещению о проведении конкурса с ограниченным участием в электронной форме» №0358300447220000005:</w:t>
      </w:r>
    </w:p>
    <w:p>
      <w:pPr>
        <w:pStyle w:val="Style10"/>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-установлены дата и время окончания подачи заявок - 08.02.2021 в 08:00;</w:t>
      </w:r>
    </w:p>
    <w:p>
      <w:pPr>
        <w:pStyle w:val="Style10"/>
        <w:widowControl w:val="0"/>
        <w:keepNext w:val="0"/>
        <w:keepLines w:val="0"/>
        <w:shd w:val="clear" w:color="auto" w:fill="auto"/>
        <w:bidi w:val="0"/>
        <w:jc w:val="left"/>
        <w:spacing w:before="0" w:after="240"/>
        <w:ind w:left="20" w:right="20" w:firstLine="720"/>
      </w:pPr>
      <w:r>
        <w:rPr>
          <w:lang w:val="ru-RU" w:eastAsia="ru-RU" w:bidi="ru-RU"/>
          <w:w w:val="100"/>
          <w:spacing w:val="0"/>
          <w:color w:val="000000"/>
          <w:position w:val="0"/>
        </w:rPr>
        <w:t xml:space="preserve">-начальная (максимальная) цена контракта (НМЦК) составила 2 976 055,25 рублей; Извещение и документация размещены в Единой информационной системе (ЕИС)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30.12.2020.</w:t>
      </w:r>
    </w:p>
    <w:p>
      <w:pPr>
        <w:pStyle w:val="Style10"/>
        <w:numPr>
          <w:ilvl w:val="0"/>
          <w:numId w:val="1"/>
        </w:numPr>
        <w:tabs>
          <w:tab w:leader="none" w:pos="1035"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Заявитель указывает, что Заказчиком не установлена конкретная сумма контракта (в стоимостном выражении), который участники закупки обязаны представить для подтверждения своего соответствия дополнительным требованиям, установленным в соответствии с Постановлением Правительства РФ от 04.02.2015 №99.</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0"/>
        <w:numPr>
          <w:ilvl w:val="0"/>
          <w:numId w:val="3"/>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10"/>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0"/>
        <w:numPr>
          <w:ilvl w:val="0"/>
          <w:numId w:val="3"/>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0"/>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ч.б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10"/>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Предметом контракта, заключаемого по итогам оспариваемой электронной процедуры является поставка продуктов питания. Данный вид деятельности входит в перечень, определенный Постановлением Правительства РФ от 04.02.2015 №99 (далее - Постановление №99), соответственно для участия в закупке участник должен соответствовать дополнительным требованиям, а именно -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10"/>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Данные требования закреплены в п.2.3. конкурсной документации. Документы, которыми участник подтверждает свое соответствие дополнительным требованиям, определены в п.3.3.3. конкурсной документации.</w:t>
      </w:r>
    </w:p>
    <w:p>
      <w:pPr>
        <w:pStyle w:val="Style10"/>
        <w:widowControl w:val="0"/>
        <w:keepNext w:val="0"/>
        <w:keepLines w:val="0"/>
        <w:shd w:val="clear" w:color="auto" w:fill="auto"/>
        <w:bidi w:val="0"/>
        <w:jc w:val="both"/>
        <w:spacing w:before="0" w:after="240"/>
        <w:ind w:left="20" w:right="40" w:firstLine="720"/>
      </w:pPr>
      <w:r>
        <w:rPr>
          <w:lang w:val="ru-RU" w:eastAsia="ru-RU" w:bidi="ru-RU"/>
          <w:w w:val="100"/>
          <w:spacing w:val="0"/>
          <w:color w:val="000000"/>
          <w:position w:val="0"/>
        </w:rPr>
        <w:t>Вместе с тем, обязанности установить конкретное значение цены контракта, ни Постановление №99, ни положения ст.31 Закона не предусматривают. Требования ч.2 ст.31 Закона и п.6 Постановления №99 обязывают Заказчика установить дополнительные требования к участникам, а также указать документы, которыми подтверждается соответствие последних. Данная обязанность Заказчиком исполнена, в силу чего довод жалобы признается необоснованным.</w:t>
      </w:r>
    </w:p>
    <w:p>
      <w:pPr>
        <w:pStyle w:val="Style10"/>
        <w:numPr>
          <w:ilvl w:val="0"/>
          <w:numId w:val="1"/>
        </w:numPr>
        <w:tabs>
          <w:tab w:leader="none" w:pos="1039" w:val="left"/>
        </w:tabs>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Заявитель полагает, что Заказчиком ненадлежащим образом определен показатель нестоимостного критерия оценки.</w:t>
      </w:r>
    </w:p>
    <w:p>
      <w:pPr>
        <w:pStyle w:val="Style10"/>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В соответствии с ч.4 ст.56.1 Закона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pPr>
        <w:pStyle w:val="Style10"/>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В силу п.8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10"/>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10"/>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Как указано в ч.8 ст.32 Закона,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п. 1 и 2 ч. 1 данной статьи.</w:t>
      </w:r>
    </w:p>
    <w:p>
      <w:pPr>
        <w:pStyle w:val="Style10"/>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Частью 9 ст.32 Закона установлено, что не допускается использование заказчиком не предусмотренных настоящей статьей критериев или их величин значимости, установленных ч. 6 данной статьи и в соответствии с ч. 8 данной статьи, за исключением случая, предусмотренного ч. 2 данной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10"/>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В соответствии с п.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10"/>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Согласно порядку, определенному Приложением №4 к конкурсной документации, 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включает в себя показатель «Деловая репутация в виде положительных отзывов от Заказчиков (Контрагентов)». Оценка участников по показателю определяется в следующем порядке:</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«Деловая репутация в виде положительных отзывов от Заказчиков (Контрагентов) - коэффициент значимости 0,9.</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Оценке подлежит количество положительных отзывов (благодарственных, информационных и других положительно характеризующих участника писем) о деловой репутации, по договорам (контрактам), заключенным и успешно исполненным в соответствии с требованиями законодательства о контрактной системе в сфере закупок товаров, работ, услуг для обеспечения государственных и муниципальных нужд и требованиями законодательства о закупках товаров, работ, услуг отдельными видами юридических лиц.</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качестве документов, подтверждающих «Деловую репутацию участника закупки», в составе 2-ой части заявки участник представляет:</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-копии положительных отзывов (благодарственных, информационных и других положительно характеризующих участника писем) от Заказчиков (Контрагентов), по успешно исполненным договорам (контрактам) на поставку продуктов питания (исполненным в период с 01.01.2019г. до даты окончания подачи заявок). В отзыве должны быть указаны реквизиты исполненного договора (контракта) (любые сведения, позволяющие определить отношение отзыва к соответствующему ему контракту);</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-документ(ы), подтверждающий(е) исполнение соответствующего отзыву контракта (накладные, акт(ы) приема-передачи, и т.п.);</w:t>
      </w:r>
    </w:p>
    <w:p>
      <w:pPr>
        <w:pStyle w:val="Style10"/>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-сведения об исполненных контрактах (договорах), соответствующих отзывам, по форме</w:t>
      </w:r>
    </w:p>
    <w:p>
      <w:pPr>
        <w:pStyle w:val="Style10"/>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№3,</w:t>
      </w:r>
    </w:p>
    <w:p>
      <w:pPr>
        <w:pStyle w:val="Style10"/>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-сведения по форме № 1.</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Лучшим условием признается большее количество положительных отзывов (благодарственных, информационных и других положительно характеризующих участника писем), представленных участником закупки. Отсутствие данных документов не является основанием для отклонения заявки участника закупки».</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Заявитель полагает, что Заказчиком намеренно установлены противоречия в положениях о рассматриваемом показателе, выразившиеся в том, что, с одной стороны, соответствие показателю определяется исключительно на основании положительных отзывов по исполненным контрактам, с другой стороны, кроме самих отзывов участник должен также представить документы, подтверждающие исполнение контрактов. Данное обстоятельство, по мнению подателя жалобы, ограничивает круг участников закупки.</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Комиссия отмечает, что утверждение Заявителя о том, что «деловая репутация определяется исключительно копиями положительных отзывов» не соответствует действительности. Данного утверждения конкурсная документация не содержит, а порядок, которым определяется начисление баллов по оспариваемому критерию прямо указывает на необходимость представления определенных документов, в том числе, об исполнении контрактов.</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Комиссия также не может согласиться с доводом Заявителя о том, что установленный Заказчиком порядок оценки заявок на участие в открытом конкурсе влечет ограничение количества участников закупки.</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Так, вне зависимости от наличия у участника закупки опыта успешного выполнения работ сопоставимого характера и объема, а также документов, подтверждающих наличие такого опыта и соответствующих Конкурсной документации, такой участник сможет подать заявку на участие в открытом конкурсе и его заявка будет рассмотрена и оценена конкурсной комиссией.</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Как указано в определении Судебной коллегии по экономическим спорам Верховного Суда Российской Федерации от 27.02.2020 №307-ЭС 19-21226 по делу №А44-6018/2018,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1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Судебная практика основывается на том факте, что установление Заказчиком критериев оценки не является обязательным условием для участия в проведении процедуры закупки, не может служить основанием для отклонения заявки участника, а выступает лишь критерием оценки участника, в то время как к участию в закупке могло быть допущено любое лицо независимо от наличия документов, подтверждающий конкретный критерий.</w:t>
      </w:r>
    </w:p>
    <w:p>
      <w:pPr>
        <w:pStyle w:val="Style1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Аналогичные выводы содержаться в определении Судебной коллегии по экономическим спорам Верховного Суда РФ от 18.11.2019 №307-ЭС19-12629 по делу №А56-115357/2018, определении Верховного Суда РФ от 08.10.2019 №307-ЭС19-12629 по делу №А56-115357/2018.</w:t>
      </w:r>
    </w:p>
    <w:p>
      <w:pPr>
        <w:pStyle w:val="Style1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рассматриваемом случае Комиссией Ростовского У ФАС России не установлено нарушений законодательства о контрактной системе в сфере закупок, допущенных при определении критериев и раскрывающих их показателей. Заказчик, реализуя свое исключительное право на подготовку конкурсного лота руководствовался необходимостью удостовериться в надлежащем опыте участников в исполнении работ сопоставимого характера.</w:t>
      </w:r>
    </w:p>
    <w:p>
      <w:pPr>
        <w:pStyle w:val="Style1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исследовании обстоятельств дела Заявителем не представлено доказательств нарушения его права, как и не доказано, что конкретным лицам установленные единицы измерения показателей позволяют получить необоснованное преимущество в нарушение принципов контрактной системы.</w:t>
      </w:r>
    </w:p>
    <w:p>
      <w:pPr>
        <w:pStyle w:val="Style10"/>
        <w:widowControl w:val="0"/>
        <w:keepNext w:val="0"/>
        <w:keepLines w:val="0"/>
        <w:shd w:val="clear" w:color="auto" w:fill="auto"/>
        <w:bidi w:val="0"/>
        <w:jc w:val="both"/>
        <w:spacing w:before="0" w:after="243" w:line="277" w:lineRule="exact"/>
        <w:ind w:left="20" w:right="0" w:firstLine="720"/>
      </w:pPr>
      <w:r>
        <w:rPr>
          <w:lang w:val="ru-RU" w:eastAsia="ru-RU" w:bidi="ru-RU"/>
          <w:w w:val="100"/>
          <w:spacing w:val="0"/>
          <w:color w:val="000000"/>
          <w:position w:val="0"/>
        </w:rPr>
        <w:t>При изложенных обстоятельствах Комиссия признает довод Заявителя необоснованным.</w:t>
      </w:r>
    </w:p>
    <w:p>
      <w:pPr>
        <w:pStyle w:val="Style10"/>
        <w:numPr>
          <w:ilvl w:val="0"/>
          <w:numId w:val="1"/>
        </w:numPr>
        <w:tabs>
          <w:tab w:leader="none" w:pos="1031"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Заявителем представлены дополнительные доводы при рассмотрении дела Комиссией Ростовского У ФАС России, заключающиеся в следующем.</w:t>
      </w:r>
    </w:p>
    <w:p>
      <w:pPr>
        <w:pStyle w:val="Style10"/>
        <w:numPr>
          <w:ilvl w:val="1"/>
          <w:numId w:val="1"/>
        </w:numPr>
        <w:tabs>
          <w:tab w:leader="none" w:pos="1218"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По мнению подателя жалобы, Заказчик неправомерно установил ограничение для участников закупки - конкурс объявлен для субъектов малого предпринимательства, социально ориентированных некоммерческих организаций (п. 18 Информационной карты).</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положениями ч.24 ст.22 Закона, в случае, если объем подлежащих выполнению работ, оказанию услуг невозможно определить, заказчик с учетом установленных в соответствии со ст.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Положениями ст.30 Закона об участии в закупках субъектов малого предпринимательства, социально ориентированных некоммерческих организаций в закупках не содержит запрет на участие в определенных конкурентных процедурах такими лицами. Также невозможность участия субъектов малого предпринимательства, социально ориентированных некоммерческих организаций в конкурсах с ограниченным участием не указана в ст.56.1 Закона и положениях Постановления Правительства РФ от 28.11.2013 №1088 «Об утверждении Правил проведения совместных конкурсов и аукционов».</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В заседании Комиссии представитель Заявителя не подтвердил доводы о невозможности проведения рассматриваемой закупки представленным образом. На основании изложенного довод признается необоснованным.</w:t>
      </w:r>
      <w:r>
        <w:br w:type="page"/>
      </w:r>
    </w:p>
    <w:p>
      <w:pPr>
        <w:pStyle w:val="Style10"/>
        <w:numPr>
          <w:ilvl w:val="1"/>
          <w:numId w:val="1"/>
        </w:numPr>
        <w:tabs>
          <w:tab w:leader="none" w:pos="1255"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указывает, что положение п.9.15, документации ограничивает права участников, вводит их в заблуждение.</w:t>
      </w:r>
    </w:p>
    <w:p>
      <w:pPr>
        <w:pStyle w:val="Style10"/>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 соответствии с п.9.15. конкурсной документации:</w:t>
      </w:r>
    </w:p>
    <w:p>
      <w:pPr>
        <w:pStyle w:val="Style1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заключении контракта Заказчик по согласованию 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(указывается при необходимости)».</w:t>
      </w:r>
    </w:p>
    <w:p>
      <w:pPr>
        <w:pStyle w:val="Style1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Заявитель не представил информации, согласно которой Комиссия может заключить, что данное положение являются препятствием для подачи заявки ООО «Виктория» и неопределенного круга лиц. Также Комиссии не разъяснено, какое именно противоречие утверждается Заявителем, не сделано ссылок на нарушение конкретных положений Закона. К работе Комиссии Заявитель не представил документов, подтверждающих собственные выводы. На основании изложенного, Ростовское У ФАС России признает довод жалобы необоснованным.</w:t>
      </w:r>
    </w:p>
    <w:p>
      <w:pPr>
        <w:pStyle w:val="Style10"/>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17"/>
        <w:framePr w:w="1413" w:h="410" w:wrap="notBeside" w:vAnchor="text" w:hAnchor="margin" w:x="14" w:y="8171"/>
        <w:widowControl w:val="0"/>
        <w:keepNext w:val="0"/>
        <w:keepLines w:val="0"/>
        <w:shd w:val="clear" w:color="auto" w:fill="auto"/>
        <w:bidi w:val="0"/>
        <w:jc w:val="both"/>
        <w:spacing w:before="0" w:after="0" w:line="205" w:lineRule="exact"/>
        <w:ind w:left="0" w:right="120" w:firstLine="0"/>
      </w:pPr>
      <w:r>
        <w:rPr>
          <w:rStyle w:val="CharStyle23"/>
          <w:b w:val="0"/>
          <w:bCs w:val="0"/>
          <w:spacing w:val="0"/>
        </w:rPr>
        <w:t xml:space="preserve">Исп. Дедух Ю.Р. </w:t>
      </w:r>
      <w:r>
        <w:rPr>
          <w:rStyle w:val="CharStyle22"/>
          <w:b/>
          <w:bCs/>
          <w:spacing w:val="0"/>
        </w:rPr>
        <w:t>8 (863) 240-86-88</w:t>
      </w:r>
    </w:p>
    <w:p>
      <w:pPr>
        <w:pStyle w:val="Style29"/>
        <w:widowControl w:val="0"/>
        <w:keepNext w:val="0"/>
        <w:keepLines w:val="0"/>
        <w:shd w:val="clear" w:color="auto" w:fill="auto"/>
        <w:bidi w:val="0"/>
        <w:spacing w:before="0" w:after="245"/>
        <w:ind w:left="0" w:right="0" w:firstLine="0"/>
      </w:pPr>
      <w:r>
        <w:rPr>
          <w:lang w:val="ru-RU" w:eastAsia="ru-RU" w:bidi="ru-RU"/>
          <w:sz w:val="24"/>
          <w:szCs w:val="24"/>
          <w:w w:val="100"/>
          <w:spacing w:val="0"/>
          <w:color w:val="000000"/>
          <w:position w:val="0"/>
        </w:rPr>
        <w:t>РЕШИЛА:</w:t>
      </w:r>
    </w:p>
    <w:sectPr>
      <w:type w:val="continuous"/>
      <w:pgSz w:w="11906" w:h="16838"/>
      <w:pgMar w:top="550" w:left="1032" w:right="920" w:bottom="28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5">
    <w:name w:val="Основной текст (3) Exact"/>
    <w:basedOn w:val="CharStyle20"/>
    <w:rPr>
      <w:spacing w:val="7"/>
    </w:rPr>
  </w:style>
  <w:style w:type="character" w:customStyle="1" w:styleId="CharStyle7">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4"/>
    </w:rPr>
  </w:style>
  <w:style w:type="character" w:customStyle="1" w:styleId="CharStyle8">
    <w:name w:val="Основной текст (2) Exact"/>
    <w:basedOn w:val="CharStyle9"/>
    <w:rPr>
      <w:sz w:val="21"/>
      <w:szCs w:val="21"/>
      <w:spacing w:val="4"/>
    </w:rPr>
  </w:style>
  <w:style w:type="character" w:customStyle="1" w:styleId="CharStyle9">
    <w:name w:val="Основной текст (2)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2)"/>
    <w:basedOn w:val="CharStyle9"/>
    <w:rPr>
      <w:lang w:val="ru-RU" w:eastAsia="ru-RU" w:bidi="ru-RU"/>
      <w:w w:val="100"/>
      <w:spacing w:val="0"/>
      <w:color w:val="000000"/>
      <w:position w:val="0"/>
    </w:rPr>
  </w:style>
  <w:style w:type="character" w:customStyle="1" w:styleId="CharStyle13">
    <w:name w:val="Основной текст + Полужирный"/>
    <w:basedOn w:val="CharStyle11"/>
    <w:rPr>
      <w:lang w:val="ru-RU" w:eastAsia="ru-RU" w:bidi="ru-RU"/>
      <w:b/>
      <w:bCs/>
      <w:w w:val="100"/>
      <w:spacing w:val="0"/>
      <w:color w:val="000000"/>
      <w:position w:val="0"/>
    </w:rPr>
  </w:style>
  <w:style w:type="character" w:customStyle="1" w:styleId="CharStyle14">
    <w:name w:val="Основной текст"/>
    <w:basedOn w:val="CharStyle11"/>
    <w:rPr>
      <w:lang w:val="ru-RU" w:eastAsia="ru-RU" w:bidi="ru-RU"/>
      <w:w w:val="100"/>
      <w:spacing w:val="0"/>
      <w:color w:val="000000"/>
      <w:position w:val="0"/>
    </w:rPr>
  </w:style>
  <w:style w:type="character" w:customStyle="1" w:styleId="CharStyle15">
    <w:name w:val="Основной текст"/>
    <w:basedOn w:val="CharStyle11"/>
    <w:rPr>
      <w:lang w:val="en-US" w:eastAsia="en-US" w:bidi="en-US"/>
      <w:u w:val="single"/>
      <w:w w:val="100"/>
      <w:spacing w:val="0"/>
      <w:color w:val="000000"/>
      <w:position w:val="0"/>
    </w:rPr>
  </w:style>
  <w:style w:type="character" w:customStyle="1" w:styleId="CharStyle16">
    <w:name w:val="Основной текст (3) Exact"/>
    <w:basedOn w:val="CharStyle20"/>
    <w:rPr>
      <w:spacing w:val="7"/>
    </w:rPr>
  </w:style>
  <w:style w:type="character" w:customStyle="1" w:styleId="CharStyle18">
    <w:name w:val="Основной текст (4)_"/>
    <w:basedOn w:val="DefaultParagraphFont"/>
    <w:link w:val="Style17"/>
    <w:rPr>
      <w:b/>
      <w:bCs/>
      <w:i w:val="0"/>
      <w:iCs w:val="0"/>
      <w:u w:val="none"/>
      <w:strike w:val="0"/>
      <w:smallCaps w:val="0"/>
      <w:sz w:val="16"/>
      <w:szCs w:val="16"/>
      <w:rFonts w:ascii="Times New Roman" w:eastAsia="Times New Roman" w:hAnsi="Times New Roman" w:cs="Times New Roman"/>
    </w:rPr>
  </w:style>
  <w:style w:type="character" w:customStyle="1" w:styleId="CharStyle19">
    <w:name w:val="Основной текст (4)"/>
    <w:basedOn w:val="CharStyle18"/>
    <w:rPr>
      <w:lang w:val="ru-RU" w:eastAsia="ru-RU" w:bidi="ru-RU"/>
      <w:w w:val="100"/>
      <w:spacing w:val="0"/>
      <w:color w:val="000000"/>
      <w:position w:val="0"/>
    </w:rPr>
  </w:style>
  <w:style w:type="character" w:customStyle="1" w:styleId="CharStyle20">
    <w:name w:val="Основной текст (3)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21">
    <w:name w:val="Основной текст (3)"/>
    <w:basedOn w:val="CharStyle20"/>
    <w:rPr>
      <w:lang w:val="ru-RU" w:eastAsia="ru-RU" w:bidi="ru-RU"/>
      <w:w w:val="100"/>
      <w:spacing w:val="0"/>
      <w:color w:val="000000"/>
      <w:position w:val="0"/>
    </w:rPr>
  </w:style>
  <w:style w:type="character" w:customStyle="1" w:styleId="CharStyle22">
    <w:name w:val="Основной текст (4) Exact"/>
    <w:basedOn w:val="DefaultParagraphFont"/>
    <w:rPr>
      <w:b/>
      <w:bCs/>
      <w:i w:val="0"/>
      <w:iCs w:val="0"/>
      <w:u w:val="none"/>
      <w:strike w:val="0"/>
      <w:smallCaps w:val="0"/>
      <w:sz w:val="15"/>
      <w:szCs w:val="15"/>
      <w:rFonts w:ascii="Times New Roman" w:eastAsia="Times New Roman" w:hAnsi="Times New Roman" w:cs="Times New Roman"/>
      <w:spacing w:val="6"/>
    </w:rPr>
  </w:style>
  <w:style w:type="character" w:customStyle="1" w:styleId="CharStyle23">
    <w:name w:val="Основной текст (4) + 8 pt,Не полужирный,Интервал 0 pt Exact"/>
    <w:basedOn w:val="CharStyle18"/>
    <w:rPr>
      <w:lang w:val="ru-RU" w:eastAsia="ru-RU" w:bidi="ru-RU"/>
      <w:b/>
      <w:bCs/>
      <w:w w:val="100"/>
      <w:spacing w:val="1"/>
      <w:color w:val="000000"/>
      <w:position w:val="0"/>
    </w:rPr>
  </w:style>
  <w:style w:type="character" w:customStyle="1" w:styleId="CharStyle24">
    <w:name w:val="Основной текст (2) + 12 pt"/>
    <w:basedOn w:val="CharStyle9"/>
    <w:rPr>
      <w:lang w:val="ru-RU" w:eastAsia="ru-RU" w:bidi="ru-RU"/>
      <w:sz w:val="24"/>
      <w:szCs w:val="24"/>
      <w:w w:val="100"/>
      <w:spacing w:val="0"/>
      <w:color w:val="000000"/>
      <w:position w:val="0"/>
    </w:rPr>
  </w:style>
  <w:style w:type="character" w:customStyle="1" w:styleId="CharStyle26">
    <w:name w:val="Заголовок №1_"/>
    <w:basedOn w:val="DefaultParagraphFont"/>
    <w:link w:val="Style25"/>
    <w:rPr>
      <w:b w:val="0"/>
      <w:bCs w:val="0"/>
      <w:i w:val="0"/>
      <w:iCs w:val="0"/>
      <w:u w:val="none"/>
      <w:strike w:val="0"/>
      <w:smallCaps w:val="0"/>
      <w:sz w:val="36"/>
      <w:szCs w:val="36"/>
      <w:rFonts w:ascii="Times New Roman" w:eastAsia="Times New Roman" w:hAnsi="Times New Roman" w:cs="Times New Roman"/>
    </w:rPr>
  </w:style>
  <w:style w:type="character" w:customStyle="1" w:styleId="CharStyle28">
    <w:name w:val="Заголовок №2_"/>
    <w:basedOn w:val="DefaultParagraphFont"/>
    <w:link w:val="Style27"/>
    <w:rPr>
      <w:b/>
      <w:bCs/>
      <w:i w:val="0"/>
      <w:iCs w:val="0"/>
      <w:u w:val="none"/>
      <w:strike w:val="0"/>
      <w:smallCaps w:val="0"/>
      <w:rFonts w:ascii="Times New Roman" w:eastAsia="Times New Roman" w:hAnsi="Times New Roman" w:cs="Times New Roman"/>
    </w:rPr>
  </w:style>
  <w:style w:type="character" w:customStyle="1" w:styleId="CharStyle30">
    <w:name w:val="Основной текст (5)_"/>
    <w:basedOn w:val="DefaultParagraphFont"/>
    <w:link w:val="Style29"/>
    <w:rPr>
      <w:b/>
      <w:bCs/>
      <w:i w:val="0"/>
      <w:iCs w:val="0"/>
      <w:u w:val="none"/>
      <w:strike w:val="0"/>
      <w:smallCaps w:val="0"/>
      <w:rFonts w:ascii="Times New Roman" w:eastAsia="Times New Roman" w:hAnsi="Times New Roman" w:cs="Times New Roman"/>
    </w:rPr>
  </w:style>
  <w:style w:type="paragraph" w:customStyle="1" w:styleId="Style3">
    <w:name w:val="Основной текст (3)"/>
    <w:basedOn w:val="Normal"/>
    <w:link w:val="CharStyle20"/>
    <w:pPr>
      <w:widowControl w:val="0"/>
      <w:shd w:val="clear" w:color="auto" w:fill="FFFFFF"/>
      <w:jc w:val="center"/>
      <w:spacing w:line="22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2)"/>
    <w:basedOn w:val="Normal"/>
    <w:link w:val="CharStyle9"/>
    <w:pPr>
      <w:widowControl w:val="0"/>
      <w:shd w:val="clear" w:color="auto" w:fill="FFFFFF"/>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right"/>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jc w:val="center"/>
      <w:spacing w:after="780" w:line="187" w:lineRule="exact"/>
    </w:pPr>
    <w:rPr>
      <w:b/>
      <w:bCs/>
      <w:i w:val="0"/>
      <w:iCs w:val="0"/>
      <w:u w:val="none"/>
      <w:strike w:val="0"/>
      <w:smallCaps w:val="0"/>
      <w:sz w:val="16"/>
      <w:szCs w:val="16"/>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jc w:val="right"/>
      <w:outlineLvl w:val="0"/>
      <w:spacing w:before="78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7">
    <w:name w:val="Заголовок №2"/>
    <w:basedOn w:val="Normal"/>
    <w:link w:val="CharStyle28"/>
    <w:pPr>
      <w:widowControl w:val="0"/>
      <w:shd w:val="clear" w:color="auto" w:fill="FFFFFF"/>
      <w:jc w:val="center"/>
      <w:outlineLvl w:val="1"/>
      <w:spacing w:before="240" w:after="300" w:line="0" w:lineRule="exact"/>
    </w:pPr>
    <w:rPr>
      <w:b/>
      <w:bCs/>
      <w:i w:val="0"/>
      <w:iCs w:val="0"/>
      <w:u w:val="none"/>
      <w:strike w:val="0"/>
      <w:smallCaps w:val="0"/>
      <w:rFonts w:ascii="Times New Roman" w:eastAsia="Times New Roman" w:hAnsi="Times New Roman" w:cs="Times New Roman"/>
    </w:rPr>
  </w:style>
  <w:style w:type="paragraph" w:customStyle="1" w:styleId="Style29">
    <w:name w:val="Основной текст (5)"/>
    <w:basedOn w:val="Normal"/>
    <w:link w:val="CharStyle30"/>
    <w:pPr>
      <w:widowControl w:val="0"/>
      <w:shd w:val="clear" w:color="auto" w:fill="FFFFFF"/>
      <w:jc w:val="center"/>
      <w:spacing w:after="300" w:line="277"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