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042" w:h="1677" w:wrap="around" w:hAnchor="margin" w:x="4521" w:y="1223"/>
        <w:widowControl w:val="0"/>
        <w:keepNext w:val="0"/>
        <w:keepLines w:val="0"/>
        <w:shd w:val="clear" w:color="auto" w:fill="auto"/>
        <w:bidi w:val="0"/>
        <w:jc w:val="left"/>
        <w:spacing w:before="0" w:after="0" w:line="277" w:lineRule="exact"/>
        <w:ind w:left="100" w:right="580" w:firstLine="0"/>
      </w:pPr>
      <w:r>
        <w:rPr>
          <w:rStyle w:val="CharStyle4"/>
          <w:b/>
          <w:bCs/>
          <w:spacing w:val="0"/>
        </w:rPr>
        <w:t>Общество с ограниченной ответственностью «Виктория» (далее - Заявитель)</w:t>
      </w:r>
    </w:p>
    <w:p>
      <w:pPr>
        <w:pStyle w:val="Style5"/>
        <w:framePr w:w="4042" w:h="1677" w:wrap="around" w:hAnchor="margin" w:x="4521" w:y="1223"/>
        <w:widowControl w:val="0"/>
        <w:keepNext w:val="0"/>
        <w:keepLines w:val="0"/>
        <w:shd w:val="clear" w:color="auto" w:fill="auto"/>
        <w:bidi w:val="0"/>
        <w:jc w:val="left"/>
        <w:spacing w:before="0" w:after="0" w:line="277" w:lineRule="exact"/>
        <w:ind w:left="100" w:right="100" w:firstLine="0"/>
      </w:pPr>
      <w:r>
        <w:rPr>
          <w:rStyle w:val="CharStyle6"/>
          <w:spacing w:val="0"/>
        </w:rPr>
        <w:t>пр. Ленина, д.20/18, пом.2, г. Новошахтинск, Ростовская область 346919</w:t>
      </w:r>
    </w:p>
    <w:p>
      <w:pPr>
        <w:pStyle w:val="Style15"/>
        <w:widowControl w:val="0"/>
        <w:keepNext w:val="0"/>
        <w:keepLines w:val="0"/>
        <w:shd w:val="clear" w:color="auto" w:fill="auto"/>
        <w:bidi w:val="0"/>
        <w:jc w:val="left"/>
        <w:spacing w:before="402" w:after="172"/>
        <w:ind w:left="0" w:right="0" w:firstLine="0"/>
      </w:pPr>
      <w:r>
        <w:rPr>
          <w:rStyle w:val="CharStyle17"/>
          <w:b/>
          <w:bCs/>
        </w:rPr>
        <w:t>ФЕДЕРАЛЬНАЯ АНТИМОНОПОЛЬНАЯ СЛУЖБА</w:t>
      </w:r>
    </w:p>
    <w:p>
      <w:pPr>
        <w:pStyle w:val="Style7"/>
        <w:widowControl w:val="0"/>
        <w:keepNext w:val="0"/>
        <w:keepLines w:val="0"/>
        <w:shd w:val="clear" w:color="auto" w:fill="auto"/>
        <w:bidi w:val="0"/>
        <w:jc w:val="left"/>
        <w:spacing w:before="0" w:after="68" w:line="230" w:lineRule="exact"/>
        <w:ind w:left="0" w:right="0" w:firstLine="0"/>
      </w:pPr>
      <w:r>
        <w:rPr>
          <w:rStyle w:val="CharStyle19"/>
          <w:b/>
          <w:bCs/>
        </w:rPr>
        <w:t>УПРАВЛЕНИЕ</w:t>
      </w:r>
    </w:p>
    <w:p>
      <w:pPr>
        <w:pStyle w:val="Style7"/>
        <w:framePr w:w="3589" w:h="1221" w:vSpace="342" w:wrap="around" w:vAnchor="text" w:hAnchor="margin" w:x="554" w:y="289"/>
        <w:widowControl w:val="0"/>
        <w:keepNext w:val="0"/>
        <w:keepLines w:val="0"/>
        <w:shd w:val="clear" w:color="auto" w:fill="auto"/>
        <w:bidi w:val="0"/>
        <w:jc w:val="center"/>
        <w:spacing w:before="0" w:after="191" w:line="210" w:lineRule="exact"/>
        <w:ind w:left="0" w:right="20" w:firstLine="0"/>
      </w:pPr>
      <w:r>
        <w:rPr>
          <w:rStyle w:val="CharStyle9"/>
          <w:b/>
          <w:bCs/>
          <w:spacing w:val="0"/>
        </w:rPr>
        <w:t>по Ростовской области</w:t>
      </w:r>
    </w:p>
    <w:p>
      <w:pPr>
        <w:pStyle w:val="Style10"/>
        <w:framePr w:w="3589" w:h="1221" w:vSpace="342" w:wrap="around" w:vAnchor="text" w:hAnchor="margin" w:x="554" w:y="289"/>
        <w:widowControl w:val="0"/>
        <w:keepNext w:val="0"/>
        <w:keepLines w:val="0"/>
        <w:shd w:val="clear" w:color="auto" w:fill="auto"/>
        <w:bidi w:val="0"/>
        <w:spacing w:before="0" w:after="0"/>
        <w:ind w:left="0" w:right="20" w:firstLine="0"/>
      </w:pPr>
      <w:r>
        <w:rPr>
          <w:rStyle w:val="CharStyle12"/>
          <w:spacing w:val="0"/>
        </w:rPr>
        <w:t xml:space="preserve">пр. Ворошиловский, 2/2, офис 403 г. Ростов-на-Дону, 344006 тел. (863) 263-31-04, </w:t>
      </w:r>
      <w:r>
        <w:rPr>
          <w:rStyle w:val="CharStyle13"/>
          <w:spacing w:val="0"/>
        </w:rPr>
        <w:t xml:space="preserve">факс </w:t>
      </w:r>
      <w:r>
        <w:rPr>
          <w:rStyle w:val="CharStyle12"/>
          <w:spacing w:val="0"/>
        </w:rPr>
        <w:t xml:space="preserve">(863) 240-99-59 </w:t>
      </w:r>
      <w:r>
        <w:rPr>
          <w:rStyle w:val="CharStyle12"/>
          <w:lang w:val="en-US" w:eastAsia="en-US" w:bidi="en-US"/>
          <w:spacing w:val="0"/>
        </w:rPr>
        <w:t xml:space="preserve">e-mail: </w:t>
      </w:r>
      <w:r>
        <w:fldChar w:fldCharType="begin"/>
      </w:r>
      <w:r>
        <w:rPr>
          <w:rStyle w:val="CharStyle12"/>
        </w:rPr>
        <w:instrText> HYPERLINK "mailto:to61@fas.gov.ru" </w:instrText>
      </w:r>
      <w:r>
        <w:fldChar w:fldCharType="separate"/>
      </w:r>
      <w:r>
        <w:rPr>
          <w:rStyle w:val="Hyperlink"/>
          <w:lang w:val="en-US" w:eastAsia="en-US" w:bidi="en-US"/>
          <w:spacing w:val="0"/>
        </w:rPr>
        <w:t>to61@fas.gov.ru</w:t>
      </w:r>
      <w:r>
        <w:fldChar w:fldCharType="end"/>
      </w:r>
    </w:p>
    <w:p>
      <w:pPr>
        <w:pStyle w:val="Style7"/>
        <w:widowControl w:val="0"/>
        <w:keepNext w:val="0"/>
        <w:keepLines w:val="0"/>
        <w:shd w:val="clear" w:color="auto" w:fill="auto"/>
        <w:bidi w:val="0"/>
        <w:jc w:val="left"/>
        <w:spacing w:before="0" w:after="0" w:line="230" w:lineRule="exact"/>
        <w:ind w:left="0" w:right="0" w:firstLine="0"/>
      </w:pPr>
      <w:r>
        <w:rPr>
          <w:rStyle w:val="CharStyle19"/>
          <w:b/>
          <w:bCs/>
        </w:rPr>
        <w:t xml:space="preserve">Федеральной антимонопольной </w:t>
      </w:r>
      <w:r>
        <w:rPr>
          <w:rStyle w:val="CharStyle20"/>
          <w:b/>
          <w:bCs/>
        </w:rPr>
        <w:t xml:space="preserve">служб^елефон: </w:t>
      </w:r>
      <w:r>
        <w:rPr>
          <w:rStyle w:val="CharStyle21"/>
          <w:b w:val="0"/>
          <w:bCs w:val="0"/>
        </w:rPr>
        <w:t>(961) 308-46-91</w:t>
      </w:r>
    </w:p>
    <w:p>
      <w:pPr>
        <w:pStyle w:val="Style5"/>
        <w:widowControl w:val="0"/>
        <w:keepNext w:val="0"/>
        <w:keepLines w:val="0"/>
        <w:shd w:val="clear" w:color="auto" w:fill="auto"/>
        <w:bidi w:val="0"/>
        <w:jc w:val="left"/>
        <w:spacing w:before="0" w:after="177"/>
        <w:ind w:left="0" w:right="0" w:firstLine="0"/>
      </w:pPr>
      <w:r>
        <w:rPr>
          <w:lang w:val="en-US" w:eastAsia="en-US" w:bidi="en-US"/>
          <w:w w:val="100"/>
          <w:spacing w:val="0"/>
          <w:color w:val="000000"/>
          <w:position w:val="0"/>
        </w:rPr>
        <w:t xml:space="preserve">Email: </w:t>
      </w:r>
      <w:r>
        <w:fldChar w:fldCharType="begin"/>
      </w:r>
      <w:r>
        <w:rPr>
          <w:rStyle w:val="CharStyle23"/>
        </w:rPr>
        <w:instrText> HYPERLINK "mailto:oooviktoria@vandex.ru" </w:instrText>
      </w:r>
      <w:r>
        <w:fldChar w:fldCharType="separate"/>
      </w:r>
      <w:r>
        <w:rPr>
          <w:rStyle w:val="Hyperlink"/>
        </w:rPr>
        <w:t>oooviktoria@vandex.ru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6155075320</w:t>
      </w:r>
    </w:p>
    <w:p>
      <w:pPr>
        <w:pStyle w:val="Style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Муниципальное бюджетное дошкольное образовательное учреждение Детский сад №3 (далее - Заказчик)</w:t>
      </w:r>
    </w:p>
    <w:p>
      <w:pPr>
        <w:pStyle w:val="Style5"/>
        <w:framePr w:h="210" w:wrap="around" w:vAnchor="text" w:hAnchor="margin" w:x="399" w:y="5"/>
        <w:widowControl w:val="0"/>
        <w:keepNext w:val="0"/>
        <w:keepLines w:val="0"/>
        <w:shd w:val="clear" w:color="auto" w:fill="auto"/>
        <w:bidi w:val="0"/>
        <w:jc w:val="left"/>
        <w:spacing w:before="0" w:after="0" w:line="210" w:lineRule="exact"/>
        <w:ind w:left="100" w:right="0" w:firstLine="0"/>
      </w:pPr>
      <w:r>
        <w:rPr>
          <w:rStyle w:val="CharStyle14"/>
          <w:spacing w:val="0"/>
        </w:rPr>
        <w:t>На №</w:t>
      </w:r>
    </w:p>
    <w:p>
      <w:pPr>
        <w:pStyle w:val="Style5"/>
        <w:framePr w:h="210" w:wrap="around" w:vAnchor="text" w:hAnchor="margin" w:x="2231" w:y="28"/>
        <w:widowControl w:val="0"/>
        <w:keepNext w:val="0"/>
        <w:keepLines w:val="0"/>
        <w:shd w:val="clear" w:color="auto" w:fill="auto"/>
        <w:bidi w:val="0"/>
        <w:jc w:val="left"/>
        <w:spacing w:before="0" w:after="0" w:line="210" w:lineRule="exact"/>
        <w:ind w:left="100" w:right="0" w:firstLine="0"/>
      </w:pPr>
      <w:r>
        <w:rPr>
          <w:rStyle w:val="CharStyle14"/>
          <w:spacing w:val="0"/>
        </w:rPr>
        <w:t>от</w:t>
      </w:r>
    </w:p>
    <w:p>
      <w:pPr>
        <w:pStyle w:val="Style5"/>
        <w:widowControl w:val="0"/>
        <w:keepNext w:val="0"/>
        <w:keepLines w:val="0"/>
        <w:shd w:val="clear" w:color="auto" w:fill="auto"/>
        <w:bidi w:val="0"/>
        <w:jc w:val="right"/>
        <w:spacing w:before="0" w:after="0" w:line="277" w:lineRule="exact"/>
        <w:ind w:left="0" w:right="0" w:firstLine="0"/>
      </w:pPr>
      <w:r>
        <w:rPr>
          <w:lang w:val="ru-RU" w:eastAsia="ru-RU" w:bidi="ru-RU"/>
          <w:w w:val="100"/>
          <w:spacing w:val="0"/>
          <w:color w:val="000000"/>
          <w:position w:val="0"/>
        </w:rPr>
        <w:t>ул. Бабушкина, д.65/15, г. Новочеркасск,</w:t>
      </w:r>
    </w:p>
    <w:p>
      <w:pPr>
        <w:pStyle w:val="Style5"/>
        <w:widowControl w:val="0"/>
        <w:keepNext w:val="0"/>
        <w:keepLines w:val="0"/>
        <w:shd w:val="clear" w:color="auto" w:fill="auto"/>
        <w:bidi w:val="0"/>
        <w:jc w:val="both"/>
        <w:spacing w:before="0" w:after="0" w:line="277" w:lineRule="exact"/>
        <w:ind w:left="4640" w:right="0" w:firstLine="0"/>
      </w:pPr>
      <w:r>
        <w:rPr>
          <w:lang w:val="ru-RU" w:eastAsia="ru-RU" w:bidi="ru-RU"/>
          <w:w w:val="100"/>
          <w:spacing w:val="0"/>
          <w:color w:val="000000"/>
          <w:position w:val="0"/>
        </w:rPr>
        <w:t>Ростовская область</w:t>
      </w:r>
    </w:p>
    <w:p>
      <w:pPr>
        <w:pStyle w:val="Style5"/>
        <w:widowControl w:val="0"/>
        <w:keepNext w:val="0"/>
        <w:keepLines w:val="0"/>
        <w:shd w:val="clear" w:color="auto" w:fill="auto"/>
        <w:bidi w:val="0"/>
        <w:jc w:val="both"/>
        <w:spacing w:before="0" w:after="0" w:line="277" w:lineRule="exact"/>
        <w:ind w:left="4640" w:right="0" w:firstLine="0"/>
      </w:pPr>
      <w:r>
        <w:rPr>
          <w:lang w:val="ru-RU" w:eastAsia="ru-RU" w:bidi="ru-RU"/>
          <w:w w:val="100"/>
          <w:spacing w:val="0"/>
          <w:color w:val="000000"/>
          <w:position w:val="0"/>
        </w:rPr>
        <w:t>346408</w:t>
      </w:r>
    </w:p>
    <w:p>
      <w:pPr>
        <w:pStyle w:val="Style5"/>
        <w:widowControl w:val="0"/>
        <w:keepNext w:val="0"/>
        <w:keepLines w:val="0"/>
        <w:shd w:val="clear" w:color="auto" w:fill="auto"/>
        <w:bidi w:val="0"/>
        <w:jc w:val="left"/>
        <w:spacing w:before="0" w:after="174" w:line="270" w:lineRule="exact"/>
        <w:ind w:left="4640" w:right="2420" w:firstLine="0"/>
      </w:pPr>
      <w:r>
        <w:rPr>
          <w:lang w:val="en-US" w:eastAsia="en-US" w:bidi="en-US"/>
          <w:w w:val="100"/>
          <w:spacing w:val="0"/>
          <w:color w:val="000000"/>
          <w:position w:val="0"/>
        </w:rPr>
        <w:t xml:space="preserve">Email: </w:t>
      </w:r>
      <w:r>
        <w:fldChar w:fldCharType="begin"/>
      </w:r>
      <w:r>
        <w:rPr>
          <w:rStyle w:val="CharStyle23"/>
        </w:rPr>
        <w:instrText> HYPERLINK "mailto:mbdov3@rambler.ru" </w:instrText>
      </w:r>
      <w:r>
        <w:fldChar w:fldCharType="separate"/>
      </w:r>
      <w:r>
        <w:rPr>
          <w:rStyle w:val="Hyperlink"/>
        </w:rPr>
        <w:t>mbdov3@rambler.ru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521-08-45</w:t>
      </w:r>
    </w:p>
    <w:p>
      <w:pPr>
        <w:pStyle w:val="Style3"/>
        <w:widowControl w:val="0"/>
        <w:keepNext w:val="0"/>
        <w:keepLines w:val="0"/>
        <w:shd w:val="clear" w:color="auto" w:fill="auto"/>
        <w:bidi w:val="0"/>
        <w:jc w:val="left"/>
        <w:spacing w:before="0" w:after="0" w:line="277" w:lineRule="exact"/>
        <w:ind w:left="4640" w:right="1220" w:firstLine="0"/>
      </w:pPr>
      <w:r>
        <w:rPr>
          <w:lang w:val="ru-RU" w:eastAsia="ru-RU" w:bidi="ru-RU"/>
          <w:w w:val="100"/>
          <w:spacing w:val="0"/>
          <w:color w:val="000000"/>
          <w:position w:val="0"/>
        </w:rPr>
        <w:t>Правительство Ростовской области (далее - Привлеченное лицо)</w:t>
      </w:r>
    </w:p>
    <w:p>
      <w:pPr>
        <w:pStyle w:val="Style5"/>
        <w:widowControl w:val="0"/>
        <w:keepNext w:val="0"/>
        <w:keepLines w:val="0"/>
        <w:shd w:val="clear" w:color="auto" w:fill="auto"/>
        <w:bidi w:val="0"/>
        <w:jc w:val="both"/>
        <w:spacing w:before="0" w:after="0" w:line="277" w:lineRule="exact"/>
        <w:ind w:left="4640" w:right="240" w:firstLine="0"/>
      </w:pPr>
      <w:r>
        <w:rPr>
          <w:lang w:val="ru-RU" w:eastAsia="ru-RU" w:bidi="ru-RU"/>
          <w:w w:val="100"/>
          <w:spacing w:val="0"/>
          <w:color w:val="000000"/>
          <w:position w:val="0"/>
        </w:rPr>
        <w:t>ул. Социалистическая, д. 112, г. Ростов-на-Дону 344050</w:t>
      </w:r>
    </w:p>
    <w:p>
      <w:pPr>
        <w:pStyle w:val="Style5"/>
        <w:widowControl w:val="0"/>
        <w:keepNext w:val="0"/>
        <w:keepLines w:val="0"/>
        <w:shd w:val="clear" w:color="auto" w:fill="auto"/>
        <w:bidi w:val="0"/>
        <w:jc w:val="both"/>
        <w:spacing w:before="0" w:after="0" w:line="277" w:lineRule="exact"/>
        <w:ind w:left="4640" w:right="0" w:firstLine="0"/>
        <w:sectPr>
          <w:footnotePr>
            <w:pos w:val="pageBottom"/>
            <w:numFmt w:val="decimal"/>
            <w:numRestart w:val="continuous"/>
          </w:footnotePr>
          <w:type w:val="continuous"/>
          <w:pgSz w:w="11906" w:h="16838"/>
          <w:pgMar w:top="12" w:left="956" w:right="1186" w:bottom="34" w:header="0" w:footer="3" w:gutter="0"/>
          <w:rtlGutter w:val="0"/>
          <w:cols w:space="720"/>
          <w:noEndnote/>
          <w:docGrid w:linePitch="360"/>
        </w:sectPr>
      </w:pPr>
      <w:r>
        <w:rPr>
          <w:lang w:val="en-US" w:eastAsia="en-US" w:bidi="en-US"/>
          <w:w w:val="100"/>
          <w:spacing w:val="0"/>
          <w:color w:val="000000"/>
          <w:position w:val="0"/>
        </w:rPr>
        <w:t xml:space="preserve">Email: </w:t>
      </w:r>
      <w:r>
        <w:fldChar w:fldCharType="begin"/>
      </w:r>
      <w:r>
        <w:rPr>
          <w:rStyle w:val="CharStyle23"/>
        </w:rPr>
        <w:instrText> HYPERLINK "mailto:ufas@donland.ru" </w:instrText>
      </w:r>
      <w:r>
        <w:fldChar w:fldCharType="separate"/>
      </w:r>
      <w:r>
        <w:rPr>
          <w:rStyle w:val="Hyperlink"/>
        </w:rPr>
        <w:t>ufas@donland.ru</w:t>
      </w:r>
      <w:r>
        <w:fldChar w:fldCharType="end"/>
      </w:r>
      <w:r>
        <w:rPr>
          <w:rStyle w:val="CharStyle23"/>
        </w:rPr>
        <w:t>.</w:t>
      </w:r>
    </w:p>
    <w:p>
      <w:pPr>
        <w:widowControl w:val="0"/>
        <w:spacing w:before="15" w:after="1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77" w:lineRule="exact"/>
        <w:ind w:left="4580" w:right="1160" w:firstLine="0"/>
      </w:pPr>
      <w:r>
        <w:rPr>
          <w:lang w:val="ru-RU" w:eastAsia="ru-RU" w:bidi="ru-RU"/>
          <w:w w:val="100"/>
          <w:spacing w:val="0"/>
          <w:color w:val="000000"/>
          <w:position w:val="0"/>
        </w:rPr>
        <w:t>Национальная электронная площадка (далее - оператор)</w:t>
      </w:r>
    </w:p>
    <w:p>
      <w:pPr>
        <w:pStyle w:val="Style5"/>
        <w:widowControl w:val="0"/>
        <w:keepNext w:val="0"/>
        <w:keepLines w:val="0"/>
        <w:shd w:val="clear" w:color="auto" w:fill="auto"/>
        <w:bidi w:val="0"/>
        <w:jc w:val="left"/>
        <w:spacing w:before="0" w:after="783" w:line="277" w:lineRule="exact"/>
        <w:ind w:left="4580" w:right="0" w:firstLine="0"/>
      </w:pPr>
      <w:r>
        <w:rPr>
          <w:lang w:val="en-US" w:eastAsia="en-US" w:bidi="en-US"/>
          <w:w w:val="100"/>
          <w:spacing w:val="0"/>
          <w:color w:val="000000"/>
          <w:position w:val="0"/>
        </w:rPr>
        <w:t xml:space="preserve">Email: </w:t>
      </w:r>
      <w:r>
        <w:fldChar w:fldCharType="begin"/>
      </w:r>
      <w:r>
        <w:rPr>
          <w:rStyle w:val="CharStyle23"/>
        </w:rPr>
        <w:instrText> HYPERLINK "mailto:auditors@etpz.ru" </w:instrText>
      </w:r>
      <w:r>
        <w:fldChar w:fldCharType="separate"/>
      </w:r>
      <w:r>
        <w:rPr>
          <w:rStyle w:val="Hyperlink"/>
        </w:rPr>
        <w:t>auditors@etpz.ru</w:t>
      </w:r>
      <w:r>
        <w:fldChar w:fldCharType="end"/>
      </w:r>
    </w:p>
    <w:p>
      <w:pPr>
        <w:pStyle w:val="Style3"/>
        <w:widowControl w:val="0"/>
        <w:keepNext w:val="0"/>
        <w:keepLines w:val="0"/>
        <w:shd w:val="clear" w:color="auto" w:fill="auto"/>
        <w:bidi w:val="0"/>
        <w:jc w:val="center"/>
        <w:spacing w:before="0" w:after="275" w:line="274" w:lineRule="exact"/>
        <w:ind w:left="20" w:right="0" w:firstLine="0"/>
      </w:pPr>
      <w:r>
        <w:rPr>
          <w:lang w:val="ru-RU" w:eastAsia="ru-RU" w:bidi="ru-RU"/>
          <w:w w:val="100"/>
          <w:spacing w:val="0"/>
          <w:color w:val="000000"/>
          <w:position w:val="0"/>
        </w:rPr>
        <w:t>РЕШЕНИЕ по результатам рассмотрения дела №061/06/54.3-267/2021</w:t>
      </w:r>
    </w:p>
    <w:p>
      <w:pPr>
        <w:pStyle w:val="Style5"/>
        <w:tabs>
          <w:tab w:leader="none" w:pos="8068" w:val="left"/>
        </w:tabs>
        <w:widowControl w:val="0"/>
        <w:keepNext w:val="0"/>
        <w:keepLines w:val="0"/>
        <w:shd w:val="clear" w:color="auto" w:fill="auto"/>
        <w:bidi w:val="0"/>
        <w:jc w:val="both"/>
        <w:spacing w:before="0" w:after="215" w:line="230" w:lineRule="exact"/>
        <w:ind w:left="20" w:right="0" w:firstLine="0"/>
      </w:pPr>
      <w:r>
        <w:rPr>
          <w:lang w:val="ru-RU" w:eastAsia="ru-RU" w:bidi="ru-RU"/>
          <w:w w:val="100"/>
          <w:spacing w:val="0"/>
          <w:color w:val="000000"/>
          <w:position w:val="0"/>
        </w:rPr>
        <w:t>12.02.2021</w:t>
        <w:tab/>
        <w:t>г. Ростов-на-Дону</w:t>
      </w:r>
    </w:p>
    <w:p>
      <w:pPr>
        <w:pStyle w:val="Style5"/>
        <w:widowControl w:val="0"/>
        <w:keepNext w:val="0"/>
        <w:keepLines w:val="0"/>
        <w:shd w:val="clear" w:color="auto" w:fill="auto"/>
        <w:bidi w:val="0"/>
        <w:jc w:val="both"/>
        <w:spacing w:before="0" w:after="0" w:line="292"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5"/>
        <w:tabs>
          <w:tab w:leader="none" w:pos="8068" w:val="lef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Председатель Комиссии:</w:t>
        <w:tab/>
        <w:t>М.А. Благодарев,</w:t>
      </w:r>
    </w:p>
    <w:p>
      <w:pPr>
        <w:pStyle w:val="Style5"/>
        <w:tabs>
          <w:tab w:leader="none" w:pos="8068" w:val="lef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Члены Комиссии:</w:t>
        <w:tab/>
        <w:t>С.А. Иванкова,</w:t>
      </w:r>
    </w:p>
    <w:p>
      <w:pPr>
        <w:pStyle w:val="Style5"/>
        <w:widowControl w:val="0"/>
        <w:keepNext w:val="0"/>
        <w:keepLines w:val="0"/>
        <w:shd w:val="clear" w:color="auto" w:fill="auto"/>
        <w:bidi w:val="0"/>
        <w:jc w:val="left"/>
        <w:spacing w:before="0" w:after="222" w:line="230" w:lineRule="exact"/>
        <w:ind w:left="8120" w:right="0" w:firstLine="0"/>
      </w:pPr>
      <w:r>
        <w:rPr>
          <w:lang w:val="ru-RU" w:eastAsia="ru-RU" w:bidi="ru-RU"/>
          <w:w w:val="100"/>
          <w:spacing w:val="0"/>
          <w:color w:val="000000"/>
          <w:position w:val="0"/>
        </w:rPr>
        <w:t>Ю.Р. Дедух,</w:t>
      </w:r>
    </w:p>
    <w:p>
      <w:pPr>
        <w:pStyle w:val="Style5"/>
        <w:widowControl w:val="0"/>
        <w:keepNext w:val="0"/>
        <w:keepLines w:val="0"/>
        <w:shd w:val="clear" w:color="auto" w:fill="auto"/>
        <w:bidi w:val="0"/>
        <w:jc w:val="both"/>
        <w:spacing w:before="0" w:after="708" w:line="270" w:lineRule="exact"/>
        <w:ind w:left="20" w:right="20" w:firstLine="0"/>
      </w:pPr>
      <w:r>
        <w:rPr>
          <w:lang w:val="ru-RU" w:eastAsia="ru-RU" w:bidi="ru-RU"/>
          <w:w w:val="100"/>
          <w:spacing w:val="0"/>
          <w:color w:val="000000"/>
          <w:position w:val="0"/>
        </w:rPr>
        <w:t>рассмотрев дело №061/06/54.3-267/2021 по жалобе Заявителя о нарушении Заказчиком при проведении совместного конкурса с ограниченным участием в электронной форме №0358300447220000004 «Поставка продуктов питания (Творог)» (далее - конкурс)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Заявителя по</w:t>
      </w:r>
    </w:p>
    <w:p>
      <w:pPr>
        <w:pStyle w:val="Style25"/>
        <w:widowControl w:val="0"/>
        <w:keepNext/>
        <w:keepLines/>
        <w:shd w:val="clear" w:color="auto" w:fill="auto"/>
        <w:bidi w:val="0"/>
        <w:spacing w:before="0" w:after="0" w:line="360" w:lineRule="exact"/>
        <w:ind w:left="0" w:right="20" w:firstLine="0"/>
      </w:pPr>
      <w:bookmarkStart w:id="0" w:name="bookmark0"/>
      <w:r>
        <w:rPr>
          <w:lang w:val="ru-RU" w:eastAsia="ru-RU" w:bidi="ru-RU"/>
          <w:w w:val="100"/>
          <w:spacing w:val="0"/>
          <w:color w:val="000000"/>
          <w:position w:val="0"/>
        </w:rPr>
        <w:t>018326</w:t>
      </w:r>
      <w:bookmarkEnd w:id="0"/>
      <w:r>
        <w:br w:type="page"/>
      </w:r>
    </w:p>
    <w:p>
      <w:pPr>
        <w:pStyle w:val="Style5"/>
        <w:widowControl w:val="0"/>
        <w:keepNext w:val="0"/>
        <w:keepLines w:val="0"/>
        <w:shd w:val="clear" w:color="auto" w:fill="auto"/>
        <w:bidi w:val="0"/>
        <w:jc w:val="both"/>
        <w:spacing w:before="0" w:after="272" w:line="270" w:lineRule="exact"/>
        <w:ind w:left="20" w:right="20" w:firstLine="0"/>
      </w:pPr>
      <w:r>
        <w:rPr>
          <w:lang w:val="ru-RU" w:eastAsia="ru-RU" w:bidi="ru-RU"/>
          <w:w w:val="100"/>
          <w:spacing w:val="0"/>
          <w:color w:val="000000"/>
          <w:position w:val="0"/>
        </w:rPr>
        <w:t>доверенности — Павельева Н.Н. (доверенность от 10.02.2021 №б/н), без участия представителя Заказчика, уведомленного надлежащим образом,</w:t>
      </w:r>
    </w:p>
    <w:p>
      <w:pPr>
        <w:pStyle w:val="Style27"/>
        <w:widowControl w:val="0"/>
        <w:keepNext/>
        <w:keepLines/>
        <w:shd w:val="clear" w:color="auto" w:fill="auto"/>
        <w:bidi w:val="0"/>
        <w:spacing w:before="0" w:after="156" w:line="230" w:lineRule="exact"/>
        <w:ind w:left="0" w:right="0" w:firstLine="0"/>
      </w:pPr>
      <w:bookmarkStart w:id="1" w:name="bookmark1"/>
      <w:r>
        <w:rPr>
          <w:lang w:val="ru-RU" w:eastAsia="ru-RU" w:bidi="ru-RU"/>
          <w:w w:val="100"/>
          <w:spacing w:val="0"/>
          <w:color w:val="000000"/>
          <w:position w:val="0"/>
        </w:rPr>
        <w:t>УСТАНОВИЛА:</w:t>
      </w:r>
      <w:bookmarkEnd w:id="1"/>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Ростовское УФАС России поступила жалоба ООО «Виктория» в которой обжалуются положения конкурсной документации, размещенной Муниципальным бюджетным дошкольным образовательным учреждением детский сад №3 в целях проведения совместной закупки. По мнению Заявителя, конкурсная документация составлена с нарушениями законодательства о контрактной системе в сфере закупок.</w:t>
      </w:r>
    </w:p>
    <w:p>
      <w:pPr>
        <w:pStyle w:val="Style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Заказчик в возражениях (от 11.02.2020 №24) на жалобу:</w:t>
      </w:r>
    </w:p>
    <w:p>
      <w:pPr>
        <w:pStyle w:val="Style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-отрицал нарушения норм Закона в конкурсной документации;</w:t>
      </w:r>
    </w:p>
    <w:p>
      <w:pPr>
        <w:pStyle w:val="Style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обоснование установления требований к участникам закупки;</w:t>
      </w:r>
    </w:p>
    <w:p>
      <w:pPr>
        <w:pStyle w:val="Style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пояснения по доводам жалобы.</w:t>
      </w:r>
    </w:p>
    <w:p>
      <w:pPr>
        <w:pStyle w:val="Style5"/>
        <w:widowControl w:val="0"/>
        <w:keepNext w:val="0"/>
        <w:keepLines w:val="0"/>
        <w:shd w:val="clear" w:color="auto" w:fill="auto"/>
        <w:bidi w:val="0"/>
        <w:jc w:val="both"/>
        <w:spacing w:before="0" w:after="237" w:line="274"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Согласно «Извещению о проведении конкурса с ограниченным участием в электронной форме» №0358300447220000004:</w:t>
      </w:r>
    </w:p>
    <w:p>
      <w:pPr>
        <w:pStyle w:val="Style5"/>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-установлены дата и время окончания подачи заявок - 08.02.2021 в 08:00;</w:t>
      </w:r>
    </w:p>
    <w:p>
      <w:pPr>
        <w:pStyle w:val="Style5"/>
        <w:widowControl w:val="0"/>
        <w:keepNext w:val="0"/>
        <w:keepLines w:val="0"/>
        <w:shd w:val="clear" w:color="auto" w:fill="auto"/>
        <w:bidi w:val="0"/>
        <w:jc w:val="left"/>
        <w:spacing w:before="0" w:after="243" w:line="274" w:lineRule="exact"/>
        <w:ind w:left="20" w:right="20" w:firstLine="720"/>
      </w:pPr>
      <w:r>
        <w:rPr>
          <w:lang w:val="ru-RU" w:eastAsia="ru-RU" w:bidi="ru-RU"/>
          <w:w w:val="100"/>
          <w:spacing w:val="0"/>
          <w:color w:val="000000"/>
          <w:position w:val="0"/>
        </w:rPr>
        <w:t xml:space="preserve">-начальная (максимальная) цена контракта (НМЦК) составила 7 209 468,00 рублей; Извещение и документация размещены в Единой информационной системе (ЕИС)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30.12.2020.</w:t>
      </w:r>
    </w:p>
    <w:p>
      <w:pPr>
        <w:pStyle w:val="Style5"/>
        <w:numPr>
          <w:ilvl w:val="0"/>
          <w:numId w:val="1"/>
        </w:numPr>
        <w:tabs>
          <w:tab w:leader="none" w:pos="1031" w:val="left"/>
        </w:tabs>
        <w:widowControl w:val="0"/>
        <w:keepNext w:val="0"/>
        <w:keepLines w:val="0"/>
        <w:shd w:val="clear" w:color="auto" w:fill="auto"/>
        <w:bidi w:val="0"/>
        <w:jc w:val="both"/>
        <w:spacing w:before="0" w:after="0" w:line="270" w:lineRule="exact"/>
        <w:ind w:left="20" w:right="20" w:firstLine="720"/>
      </w:pPr>
      <w:r>
        <w:rPr>
          <w:lang w:val="ru-RU" w:eastAsia="ru-RU" w:bidi="ru-RU"/>
          <w:w w:val="100"/>
          <w:spacing w:val="0"/>
          <w:color w:val="000000"/>
          <w:position w:val="0"/>
        </w:rPr>
        <w:t>Заявитель указывает, что Заказчиком не установлена конкретная сумма контракта (в стоимостном выражении), который участники закупки обязаны представить для подтверждения своего соответствия дополнительным требованиям, установленным в соответствии с Постановлением Правительства РФ от 04.02.2015 №99.</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5"/>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финансовых ресурсов для исполнения контракта;</w:t>
      </w:r>
    </w:p>
    <w:p>
      <w:pPr>
        <w:pStyle w:val="Style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5"/>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4 ст.31 Закона предусмотрено, что в случае установления Правительством Российской Федерации в соответствии с 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ч.б ст.31 Закона, заказчики не вправе устанавливать требования к участникам закупок в нарушение требований настоящего Федерального закона.</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Предметом контракта, заключаемого по итогам оспариваемой электронной процедуры является поставка продуктов питания. Данный вид деятельности входит в перечень, определенный Постановлением Правительства РФ от 04.02.2015 №99 (далее - Постановление №99), соответственно для участия в закупке участник должен соответствовать дополнительным требованиям, а именно - наличие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Данные требования закреплены в п.2.3, конкурсной документации. Документы, которыми участник подтверждает свое соответствие дополнительным требованиям, определены в п.3.3.3. конкурсной документации.</w:t>
      </w:r>
    </w:p>
    <w:p>
      <w:pPr>
        <w:pStyle w:val="Style5"/>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Вместе с тем, обязанности установить конкретное значение цены контракта, ни Постановление №99, ни положения ст.31 Закона не предусматривают. Требования ч.2 ст.31 Закона и п.6 Постановления №99 обязывают Заказчика установить дополнительные требования к участникам, а также указать документы, которыми подтверждается соответствие последних. Данная обязанность Заказчиком исполнена, в силу чего довод жалобы признается необоснованным.</w:t>
      </w:r>
    </w:p>
    <w:p>
      <w:pPr>
        <w:pStyle w:val="Style5"/>
        <w:numPr>
          <w:ilvl w:val="0"/>
          <w:numId w:val="1"/>
        </w:numPr>
        <w:tabs>
          <w:tab w:leader="none" w:pos="1035"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полагает, что Заказчиком ненадлежащим образом определен показатель нестоимостного критерия оценки.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ч.4 ст.56.1 Закона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п.8 ч.1 ст.54.3 Закона конкурсная документация наряду с информацией, указанной в извещении о проведении открытого конкурса в электронной форме, должна содержать:</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указано в ч.8 ст.32 Закона,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п. 1 и 2 ч. 1 данной статьи.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9 ст.32 Закона установлено, что не допускается использование заказчиком не предусмотренных настоящей статьей критериев или их величин значимости, установленных ч. 6 данной статьи и в соответствии с ч. 8 данной статьи, за исключением случая, предусмотренного ч. 2 данной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порядку, определенному Приложением №4 к конкурсной документации, критерий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включает в себя показатель «Деловая репутация в виде положительных отзывов от Заказчиков (Контрагентов)». Оценка участников по показателю определяется в следующем порядке:</w:t>
      </w:r>
    </w:p>
    <w:p>
      <w:pPr>
        <w:pStyle w:val="Style29"/>
        <w:widowControl w:val="0"/>
        <w:keepNext w:val="0"/>
        <w:keepLines w:val="0"/>
        <w:shd w:val="clear" w:color="auto" w:fill="auto"/>
        <w:bidi w:val="0"/>
        <w:spacing w:before="0" w:after="0"/>
        <w:ind w:left="40" w:right="20"/>
      </w:pPr>
      <w:r>
        <w:rPr>
          <w:lang w:val="ru-RU" w:eastAsia="ru-RU" w:bidi="ru-RU"/>
          <w:w w:val="100"/>
          <w:spacing w:val="0"/>
          <w:color w:val="000000"/>
          <w:position w:val="0"/>
        </w:rPr>
        <w:t>«Деловая репутация в виде положительных отзывов от Заказчиков (Контрагентов) - коэффициент значимости 0,9.</w:t>
      </w:r>
    </w:p>
    <w:p>
      <w:pPr>
        <w:pStyle w:val="Style29"/>
        <w:widowControl w:val="0"/>
        <w:keepNext w:val="0"/>
        <w:keepLines w:val="0"/>
        <w:shd w:val="clear" w:color="auto" w:fill="auto"/>
        <w:bidi w:val="0"/>
        <w:spacing w:before="0" w:after="0"/>
        <w:ind w:left="40" w:right="20"/>
      </w:pPr>
      <w:r>
        <w:rPr>
          <w:lang w:val="ru-RU" w:eastAsia="ru-RU" w:bidi="ru-RU"/>
          <w:w w:val="100"/>
          <w:spacing w:val="0"/>
          <w:color w:val="000000"/>
          <w:position w:val="0"/>
        </w:rPr>
        <w:t>Оценке подлежит количество положительных отзывов (благодарственных, информационных и других положительно характеризующих участника писем) о деловой репутации, по договорам (контрактам), заключенным и успешно исполненным в соответствии с требованиями законодательства о контрактной системе в сфере закупок товаров, работ, услуг для обеспечения государственных и муниципальных нужд и требованиями законодательства о закупках товаров, работ, услуг отдельными видами юридических лиц.</w:t>
      </w:r>
    </w:p>
    <w:p>
      <w:pPr>
        <w:pStyle w:val="Style29"/>
        <w:widowControl w:val="0"/>
        <w:keepNext w:val="0"/>
        <w:keepLines w:val="0"/>
        <w:shd w:val="clear" w:color="auto" w:fill="auto"/>
        <w:bidi w:val="0"/>
        <w:spacing w:before="0" w:after="0"/>
        <w:ind w:left="40" w:right="20"/>
      </w:pPr>
      <w:r>
        <w:rPr>
          <w:lang w:val="ru-RU" w:eastAsia="ru-RU" w:bidi="ru-RU"/>
          <w:w w:val="100"/>
          <w:spacing w:val="0"/>
          <w:color w:val="000000"/>
          <w:position w:val="0"/>
        </w:rPr>
        <w:t>В качестве документов, подтверждающих «Деловую репутацию участника закупки», в составе 2-ой части заявки участник представляет:</w:t>
      </w:r>
    </w:p>
    <w:p>
      <w:pPr>
        <w:pStyle w:val="Style29"/>
        <w:widowControl w:val="0"/>
        <w:keepNext w:val="0"/>
        <w:keepLines w:val="0"/>
        <w:shd w:val="clear" w:color="auto" w:fill="auto"/>
        <w:bidi w:val="0"/>
        <w:spacing w:before="0" w:after="0"/>
        <w:ind w:left="40" w:right="20"/>
      </w:pPr>
      <w:r>
        <w:rPr>
          <w:lang w:val="ru-RU" w:eastAsia="ru-RU" w:bidi="ru-RU"/>
          <w:w w:val="100"/>
          <w:spacing w:val="0"/>
          <w:color w:val="000000"/>
          <w:position w:val="0"/>
        </w:rPr>
        <w:t>-копии положительных отзывов (благодарственных, информационных и других положительно характеризующих участника писем) от Заказчиков (Контрагентов), по успешно исполненным договорам (контрактам) на поставку продуктов питания (исполненным в период с 01.01.2019г. до даты окончания подачи заявок). В отзыве должны быть указаны реквизиты исполненного договора (контракта) (любые сведения, позволяющие определить отношение отзыва к соответствующему ему контракту);</w:t>
      </w:r>
    </w:p>
    <w:p>
      <w:pPr>
        <w:pStyle w:val="Style29"/>
        <w:widowControl w:val="0"/>
        <w:keepNext w:val="0"/>
        <w:keepLines w:val="0"/>
        <w:shd w:val="clear" w:color="auto" w:fill="auto"/>
        <w:bidi w:val="0"/>
        <w:spacing w:before="0" w:after="0"/>
        <w:ind w:left="40" w:right="20"/>
      </w:pPr>
      <w:r>
        <w:rPr>
          <w:lang w:val="ru-RU" w:eastAsia="ru-RU" w:bidi="ru-RU"/>
          <w:w w:val="100"/>
          <w:spacing w:val="0"/>
          <w:color w:val="000000"/>
          <w:position w:val="0"/>
        </w:rPr>
        <w:t>-документ(ы), подтвгрждающий(е) исполнение соответствующего отзыву контракта (накладные, акт(ы) приема-передачи, и т.п.);</w:t>
      </w:r>
    </w:p>
    <w:p>
      <w:pPr>
        <w:pStyle w:val="Style29"/>
        <w:widowControl w:val="0"/>
        <w:keepNext w:val="0"/>
        <w:keepLines w:val="0"/>
        <w:shd w:val="clear" w:color="auto" w:fill="auto"/>
        <w:bidi w:val="0"/>
        <w:spacing w:before="0" w:after="0"/>
        <w:ind w:left="40" w:right="20"/>
      </w:pPr>
      <w:r>
        <w:rPr>
          <w:lang w:val="ru-RU" w:eastAsia="ru-RU" w:bidi="ru-RU"/>
          <w:w w:val="100"/>
          <w:spacing w:val="0"/>
          <w:color w:val="000000"/>
          <w:position w:val="0"/>
        </w:rPr>
        <w:t>-сведения об исполненных контрактах (договорах), соответствующих отзывам, по форме № 3,</w:t>
      </w:r>
    </w:p>
    <w:p>
      <w:pPr>
        <w:pStyle w:val="Style29"/>
        <w:widowControl w:val="0"/>
        <w:keepNext w:val="0"/>
        <w:keepLines w:val="0"/>
        <w:shd w:val="clear" w:color="auto" w:fill="auto"/>
        <w:bidi w:val="0"/>
        <w:spacing w:before="0" w:after="0"/>
        <w:ind w:left="40" w:right="0"/>
      </w:pPr>
      <w:r>
        <w:rPr>
          <w:lang w:val="ru-RU" w:eastAsia="ru-RU" w:bidi="ru-RU"/>
          <w:w w:val="100"/>
          <w:spacing w:val="0"/>
          <w:color w:val="000000"/>
          <w:position w:val="0"/>
        </w:rPr>
        <w:t>-сведения по форме № 1.</w:t>
      </w:r>
    </w:p>
    <w:p>
      <w:pPr>
        <w:pStyle w:val="Style29"/>
        <w:widowControl w:val="0"/>
        <w:keepNext w:val="0"/>
        <w:keepLines w:val="0"/>
        <w:shd w:val="clear" w:color="auto" w:fill="auto"/>
        <w:bidi w:val="0"/>
        <w:spacing w:before="0" w:after="0"/>
        <w:ind w:left="40" w:right="20"/>
      </w:pPr>
      <w:r>
        <w:rPr>
          <w:lang w:val="ru-RU" w:eastAsia="ru-RU" w:bidi="ru-RU"/>
          <w:w w:val="100"/>
          <w:spacing w:val="0"/>
          <w:color w:val="000000"/>
          <w:position w:val="0"/>
        </w:rPr>
        <w:t>Лучшим условием признается большее количество положительных отзывов (благодарственных, информационных и других положительно характеризующих участника писем), представленных участником закупки. Отсутствие данных документов не является основанием для отклонения заявки участника закупки».</w:t>
      </w:r>
    </w:p>
    <w:p>
      <w:pPr>
        <w:pStyle w:val="Style5"/>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Заявитель полагает, что Заказчиком намеренно установлены противоречия в положениях о рассматриваемом показателе, выразившиеся в том, что, с одной стороны, соответствие показателю определяется исключительно на основании положительных отзывов по исполненным контрактам, с другой стороны, кроме самих отзывов участник должен также представить документы, подтверждающие исполнение контрактов. Данное обстоятельство, по мнению подателя жалобы, ограничивает круг участников закупки.</w:t>
      </w:r>
    </w:p>
    <w:p>
      <w:pPr>
        <w:pStyle w:val="Style5"/>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Комиссия отмечает, что утверждение Заявителя о том, что «деловая репутация определяется исключительно копиями положительных отзывов» не соответствует действительности. Данного утверждения конкурсная документация не содержит, а порядок, которым определяется начисление баллов по оспариваемому критерию прямо указывает на необходимость представления определенных документов, в том числе, об исполнении контрактов.</w:t>
      </w:r>
    </w:p>
    <w:p>
      <w:pPr>
        <w:pStyle w:val="Style5"/>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Комиссия также не может согласиться с доводом Заявителя о том, что установленный Заказчиком порядок оценки заявок на участие в открытом конкурсе влечет ограничение количества участников закупки.</w:t>
      </w:r>
    </w:p>
    <w:p>
      <w:pPr>
        <w:pStyle w:val="Style5"/>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Так, вне зависимости от наличия у участника закупки опыта успешного выполнения работ сопоставимого характера и объема, а также документов, подтверждающих наличие такого опыта и соответствующих Конкурсной документации, такой участник сможет подать заявку на участие в открытом конкурсе и его заявка будет рассмотрена и оценена конкурсной комиссией.</w:t>
      </w:r>
    </w:p>
    <w:p>
      <w:pPr>
        <w:pStyle w:val="Style5"/>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Как указано в определении Судебной коллегии по экономическим спорам Верховного Суда Российской Федерации от 27.02.2020 №307-ЭС 19-21226 по делу №А44-6018/2018, 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публично-правового образования в качественном и своевременном выполнении работ, учитывая специфику объекта закупки.</w:t>
      </w:r>
    </w:p>
    <w:p>
      <w:pPr>
        <w:pStyle w:val="Style5"/>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Судебная практика основывается на том факте, что установление Заказчиком критериев оценки не является обязательным условием для участия в проведении процедуры закупки, не может служить основанием для отклонения заявки участника, а выступает лишь критерием оценки участника, в то время как к участию в закупке могло быть допущено любое лицо независимо от наличия документов, подтверждающий конкретный критерий.</w:t>
      </w:r>
    </w:p>
    <w:p>
      <w:pPr>
        <w:pStyle w:val="Style5"/>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Аналогичные выводы содержаться в определении Судебной коллегии по экономическим спорам Верховного Суда РФ от 18.11.2019 №307-ЭС 19-12629 по делу №А56-115357/2018, определении Верховного Суда РФ от 08.10.2019 №307-ЭС19-12629 по делу №А56-115357/2018.</w:t>
      </w:r>
    </w:p>
    <w:p>
      <w:pPr>
        <w:pStyle w:val="Style5"/>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В рассматриваемом случае Комиссией Ростовского У ФАС России не установлено нарушений законодательства о контрактной системе в сфере закупок, допущенных при определении критериев и раскрывающих их показателей. Заказчик, реализуя свое исключительное право на подготовку конкурсного лота руководствовался необходимостью удостовериться в надлежащем опыте участников в исполнении работ сопоставимого характера.</w:t>
      </w:r>
    </w:p>
    <w:p>
      <w:pPr>
        <w:pStyle w:val="Style5"/>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При исследовании обстоятельств дела Заявителем не представлено доказательств нарушения его права, как и не доказано, что конкретным лицам установленные единицы измерения показателей позволяют получить необоснованное преимущество в нарушение принципов контрактной системы.</w:t>
      </w:r>
    </w:p>
    <w:p>
      <w:pPr>
        <w:pStyle w:val="Style5"/>
        <w:widowControl w:val="0"/>
        <w:keepNext w:val="0"/>
        <w:keepLines w:val="0"/>
        <w:shd w:val="clear" w:color="auto" w:fill="auto"/>
        <w:bidi w:val="0"/>
        <w:jc w:val="both"/>
        <w:spacing w:before="0" w:after="243" w:line="277" w:lineRule="exact"/>
        <w:ind w:left="0" w:right="0" w:firstLine="720"/>
      </w:pPr>
      <w:r>
        <w:rPr>
          <w:lang w:val="ru-RU" w:eastAsia="ru-RU" w:bidi="ru-RU"/>
          <w:w w:val="100"/>
          <w:spacing w:val="0"/>
          <w:color w:val="000000"/>
          <w:position w:val="0"/>
        </w:rPr>
        <w:t>При изложенных обстоятельствах Комиссия признает довод Заявителя необоснованным.</w:t>
      </w:r>
    </w:p>
    <w:p>
      <w:pPr>
        <w:pStyle w:val="Style5"/>
        <w:numPr>
          <w:ilvl w:val="0"/>
          <w:numId w:val="1"/>
        </w:numPr>
        <w:tabs>
          <w:tab w:leader="none" w:pos="1015" w:val="left"/>
        </w:tabs>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Заявителем представлены дополнительные доводы при рассмотрении дела Комиссией Ростовского У ФАС России, заключающиеся в следующем.</w:t>
      </w:r>
    </w:p>
    <w:p>
      <w:pPr>
        <w:pStyle w:val="Style5"/>
        <w:numPr>
          <w:ilvl w:val="1"/>
          <w:numId w:val="1"/>
        </w:numPr>
        <w:tabs>
          <w:tab w:leader="none" w:pos="1195" w:val="left"/>
        </w:tabs>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По мнению подателя жалобы, Заказчик неправомерно установил ограничение для участников закупки - конкурс объявлен для субъектов малого предпринимательства, социально ориентированных некоммерческих организаций (п. 18 Информационной карты).</w:t>
      </w:r>
    </w:p>
    <w:p>
      <w:pPr>
        <w:pStyle w:val="Style5"/>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В соответствии с положениями ч.24 ст.22 Закона, в случае, если объем подлежащих выполнению работ, оказанию услуг невозможно определить, заказчик с учетом установленных в соответствии со ст.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p>
    <w:p>
      <w:pPr>
        <w:pStyle w:val="Style5"/>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Положениями ст.ЗО Закона об участии в закупках субъектов малого предпринимательства, социально ориентированных некоммерческих организаций в закупках не содержит запрет на участие в определенных конкурентных процедурах такими лицами. Также невозможность участия субъектов малого предпринимательства, социально ориентированных некоммерческих организаций в конкурсах с ограниченным участием не указана в ст.56.1 Закона и положениях Постановления Правительства РФ от 28.11.2013 №1088 «Об утверждении Правил проведения совместных конкурсов и аукционов».</w:t>
      </w:r>
    </w:p>
    <w:p>
      <w:pPr>
        <w:pStyle w:val="Style5"/>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В заседании Комиссии представитель Заявителя не подтвердил доводы о невозможности проведения рассматриваемой закупки представленным образом. На основании изложенного довод признается необоснованным.</w:t>
      </w:r>
    </w:p>
    <w:p>
      <w:pPr>
        <w:pStyle w:val="Style5"/>
        <w:numPr>
          <w:ilvl w:val="1"/>
          <w:numId w:val="1"/>
        </w:numPr>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 Заявитель указывает, что положение п.9.15, документации ограничивает права участников, вводит их в заблуждение.</w:t>
      </w:r>
    </w:p>
    <w:p>
      <w:pPr>
        <w:pStyle w:val="Style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В соответствии с п.9.15, конкурсной документации:</w:t>
      </w:r>
    </w:p>
    <w:p>
      <w:pPr>
        <w:pStyle w:val="Style29"/>
        <w:widowControl w:val="0"/>
        <w:keepNext w:val="0"/>
        <w:keepLines w:val="0"/>
        <w:shd w:val="clear" w:color="auto" w:fill="auto"/>
        <w:bidi w:val="0"/>
        <w:spacing w:before="0" w:after="0" w:line="277" w:lineRule="exact"/>
        <w:ind w:left="20" w:right="20"/>
      </w:pPr>
      <w:r>
        <w:rPr>
          <w:lang w:val="ru-RU" w:eastAsia="ru-RU" w:bidi="ru-RU"/>
          <w:w w:val="100"/>
          <w:spacing w:val="0"/>
          <w:color w:val="000000"/>
          <w:position w:val="0"/>
        </w:rPr>
        <w:t>«При заключении контракта Заказчик по согласованию с участником закупки, с которым в соответствии с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(указывается при необходимости)».</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ч.9 ст.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240" w:line="277"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Заявитель не представил информации, согласно которой Комиссия может заключить, что данное положение являются препятствием для подачи заявки ООО «Виктория» и неопределенного круга лиц. Также Комиссии не разъяснено, какое именно противоречие утверждается Заявителем, не сделано ссылок на нарушение конкретных положений Закона. К работе Комиссии Заявитель не представил документов, подтверждающих собственные выводы. На основании изложенного, Ростовское У ФАС России признает довод жалобы необоснованным.</w:t>
      </w:r>
    </w:p>
    <w:p>
      <w:pPr>
        <w:pStyle w:val="Style5"/>
        <w:numPr>
          <w:ilvl w:val="1"/>
          <w:numId w:val="1"/>
        </w:numPr>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 В дополнениях к жалобе указано, что Заказчиком в инструкции не определено значение символов «&lt;» и «&gt;», следовательно, использование их неправомерно.</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Комиссией установлено, что данные символы установлены как обязательные к применению в соответствии с позицией Каталога товаров, работ, услуг, использованной Заказчиком для описания объекта закупки. Довод жалобы не обоснован.</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3"/>
        <w:widowControl w:val="0"/>
        <w:keepNext w:val="0"/>
        <w:keepLines w:val="0"/>
        <w:shd w:val="clear" w:color="auto" w:fill="auto"/>
        <w:bidi w:val="0"/>
        <w:jc w:val="center"/>
        <w:spacing w:before="0" w:after="185" w:line="277" w:lineRule="exact"/>
        <w:ind w:left="0" w:right="0" w:firstLine="0"/>
      </w:pPr>
      <w:r>
        <w:rPr>
          <w:lang w:val="ru-RU" w:eastAsia="ru-RU" w:bidi="ru-RU"/>
          <w:w w:val="100"/>
          <w:spacing w:val="0"/>
          <w:color w:val="000000"/>
          <w:position w:val="0"/>
        </w:rPr>
        <w:t>РЕШИЛА:</w:t>
      </w:r>
    </w:p>
    <w:sectPr>
      <w:type w:val="continuous"/>
      <w:pgSz w:w="11906" w:h="16838"/>
      <w:pgMar w:top="559" w:left="1022" w:right="925" w:bottom="2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bCs/>
      <w:i w:val="0"/>
      <w:iCs w:val="0"/>
      <w:u w:val="none"/>
      <w:strike w:val="0"/>
      <w:smallCaps w:val="0"/>
      <w:sz w:val="21"/>
      <w:szCs w:val="21"/>
      <w:rFonts w:ascii="Times New Roman" w:eastAsia="Times New Roman" w:hAnsi="Times New Roman" w:cs="Times New Roman"/>
      <w:spacing w:val="2"/>
    </w:rPr>
  </w:style>
  <w:style w:type="character" w:customStyle="1" w:styleId="CharStyle6">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8">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7"/>
    </w:rPr>
  </w:style>
  <w:style w:type="character" w:customStyle="1" w:styleId="CharStyle9">
    <w:name w:val="Основной текст (3) Exact"/>
    <w:basedOn w:val="CharStyle18"/>
    <w:rPr>
      <w:sz w:val="21"/>
      <w:szCs w:val="21"/>
      <w:spacing w:val="7"/>
    </w:rPr>
  </w:style>
  <w:style w:type="character" w:customStyle="1" w:styleId="CharStyle11">
    <w:name w:val="Основной текст (5) Exact"/>
    <w:basedOn w:val="DefaultParagraphFont"/>
    <w:link w:val="Style10"/>
    <w:rPr>
      <w:b w:val="0"/>
      <w:bCs w:val="0"/>
      <w:i w:val="0"/>
      <w:iCs w:val="0"/>
      <w:u w:val="none"/>
      <w:strike w:val="0"/>
      <w:smallCaps w:val="0"/>
      <w:sz w:val="16"/>
      <w:szCs w:val="16"/>
      <w:rFonts w:ascii="Times New Roman" w:eastAsia="Times New Roman" w:hAnsi="Times New Roman" w:cs="Times New Roman"/>
      <w:spacing w:val="4"/>
    </w:rPr>
  </w:style>
  <w:style w:type="character" w:customStyle="1" w:styleId="CharStyle12">
    <w:name w:val="Основной текст (5) Exact"/>
    <w:basedOn w:val="CharStyle11"/>
    <w:rPr>
      <w:lang w:val="ru-RU" w:eastAsia="ru-RU" w:bidi="ru-RU"/>
      <w:w w:val="100"/>
      <w:color w:val="000000"/>
      <w:position w:val="0"/>
    </w:rPr>
  </w:style>
  <w:style w:type="character" w:customStyle="1" w:styleId="CharStyle13">
    <w:name w:val="Основной текст (5) Exact"/>
    <w:basedOn w:val="CharStyle11"/>
    <w:rPr>
      <w:lang w:val="ru-RU" w:eastAsia="ru-RU" w:bidi="ru-RU"/>
      <w:w w:val="100"/>
      <w:color w:val="000000"/>
      <w:position w:val="0"/>
    </w:rPr>
  </w:style>
  <w:style w:type="character" w:customStyle="1" w:styleId="CharStyle14">
    <w:name w:val="Основной текст Exact"/>
    <w:basedOn w:val="CharStyle22"/>
    <w:rPr>
      <w:sz w:val="21"/>
      <w:szCs w:val="21"/>
      <w:spacing w:val="3"/>
    </w:rPr>
  </w:style>
  <w:style w:type="character" w:customStyle="1" w:styleId="CharStyle16">
    <w:name w:val="Основной текст (2)_"/>
    <w:basedOn w:val="DefaultParagraphFont"/>
    <w:link w:val="Style15"/>
    <w:rPr>
      <w:b/>
      <w:bCs/>
      <w:i w:val="0"/>
      <w:iCs w:val="0"/>
      <w:u w:val="none"/>
      <w:strike w:val="0"/>
      <w:smallCaps w:val="0"/>
      <w:sz w:val="20"/>
      <w:szCs w:val="20"/>
      <w:rFonts w:ascii="Times New Roman" w:eastAsia="Times New Roman" w:hAnsi="Times New Roman" w:cs="Times New Roman"/>
    </w:rPr>
  </w:style>
  <w:style w:type="character" w:customStyle="1" w:styleId="CharStyle17">
    <w:name w:val="Основной текст (2)"/>
    <w:basedOn w:val="CharStyle16"/>
    <w:rPr>
      <w:lang w:val="ru-RU" w:eastAsia="ru-RU" w:bidi="ru-RU"/>
      <w:w w:val="100"/>
      <w:spacing w:val="0"/>
      <w:color w:val="000000"/>
      <w:position w:val="0"/>
    </w:rPr>
  </w:style>
  <w:style w:type="character" w:customStyle="1" w:styleId="CharStyle18">
    <w:name w:val="Основной текст (3)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0">
    <w:name w:val="Основной текст (3)"/>
    <w:basedOn w:val="CharStyle18"/>
    <w:rPr>
      <w:lang w:val="ru-RU" w:eastAsia="ru-RU" w:bidi="ru-RU"/>
      <w:w w:val="100"/>
      <w:spacing w:val="0"/>
      <w:color w:val="000000"/>
      <w:position w:val="0"/>
    </w:rPr>
  </w:style>
  <w:style w:type="character" w:customStyle="1" w:styleId="CharStyle21">
    <w:name w:val="Основной текст (3) + Не полужирный"/>
    <w:basedOn w:val="CharStyle18"/>
    <w:rPr>
      <w:lang w:val="ru-RU" w:eastAsia="ru-RU" w:bidi="ru-RU"/>
      <w:b/>
      <w:bCs/>
      <w:w w:val="100"/>
      <w:spacing w:val="0"/>
      <w:color w:val="000000"/>
      <w:position w:val="0"/>
    </w:rPr>
  </w:style>
  <w:style w:type="character" w:customStyle="1" w:styleId="CharStyle22">
    <w:name w:val="Основной текст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
    <w:basedOn w:val="CharStyle22"/>
    <w:rPr>
      <w:lang w:val="en-US" w:eastAsia="en-US" w:bidi="en-US"/>
      <w:u w:val="single"/>
      <w:w w:val="100"/>
      <w:spacing w:val="0"/>
      <w:color w:val="000000"/>
      <w:position w:val="0"/>
    </w:rPr>
  </w:style>
  <w:style w:type="character" w:customStyle="1" w:styleId="CharStyle24">
    <w:name w:val="Основной текст (4)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26">
    <w:name w:val="Заголовок №1_"/>
    <w:basedOn w:val="DefaultParagraphFont"/>
    <w:link w:val="Style25"/>
    <w:rPr>
      <w:b w:val="0"/>
      <w:bCs w:val="0"/>
      <w:i w:val="0"/>
      <w:iCs w:val="0"/>
      <w:u w:val="none"/>
      <w:strike w:val="0"/>
      <w:smallCaps w:val="0"/>
      <w:sz w:val="36"/>
      <w:szCs w:val="36"/>
      <w:rFonts w:ascii="Times New Roman" w:eastAsia="Times New Roman" w:hAnsi="Times New Roman" w:cs="Times New Roman"/>
    </w:rPr>
  </w:style>
  <w:style w:type="character" w:customStyle="1" w:styleId="CharStyle28">
    <w:name w:val="Заголовок №2_"/>
    <w:basedOn w:val="DefaultParagraphFont"/>
    <w:link w:val="Style27"/>
    <w:rPr>
      <w:b/>
      <w:bCs/>
      <w:i w:val="0"/>
      <w:iCs w:val="0"/>
      <w:u w:val="none"/>
      <w:strike w:val="0"/>
      <w:smallCaps w:val="0"/>
      <w:sz w:val="23"/>
      <w:szCs w:val="23"/>
      <w:rFonts w:ascii="Times New Roman" w:eastAsia="Times New Roman" w:hAnsi="Times New Roman" w:cs="Times New Roman"/>
    </w:rPr>
  </w:style>
  <w:style w:type="character" w:customStyle="1" w:styleId="CharStyle30">
    <w:name w:val="Основной текст (6)_"/>
    <w:basedOn w:val="DefaultParagraphFont"/>
    <w:link w:val="Style29"/>
    <w:rPr>
      <w:b w:val="0"/>
      <w:bCs w:val="0"/>
      <w:i/>
      <w:iCs/>
      <w:u w:val="none"/>
      <w:strike w:val="0"/>
      <w:smallCaps w:val="0"/>
      <w:sz w:val="23"/>
      <w:szCs w:val="23"/>
      <w:rFonts w:ascii="Times New Roman" w:eastAsia="Times New Roman" w:hAnsi="Times New Roman" w:cs="Times New Roman"/>
    </w:rPr>
  </w:style>
  <w:style w:type="paragraph" w:customStyle="1" w:styleId="Style3">
    <w:name w:val="Основной текст (4)"/>
    <w:basedOn w:val="Normal"/>
    <w:link w:val="CharStyle24"/>
    <w:pPr>
      <w:widowControl w:val="0"/>
      <w:shd w:val="clear" w:color="auto" w:fill="FFFFFF"/>
      <w:spacing w:before="180" w:line="28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w:basedOn w:val="Normal"/>
    <w:link w:val="CharStyle22"/>
    <w:pPr>
      <w:widowControl w:val="0"/>
      <w:shd w:val="clear" w:color="auto" w:fill="FFFFFF"/>
      <w:spacing w:before="60" w:after="180" w:line="281"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18"/>
    <w:pPr>
      <w:widowControl w:val="0"/>
      <w:shd w:val="clear" w:color="auto" w:fill="FFFFFF"/>
      <w:spacing w:before="180" w:after="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5)"/>
    <w:basedOn w:val="Normal"/>
    <w:link w:val="CharStyle11"/>
    <w:pPr>
      <w:widowControl w:val="0"/>
      <w:shd w:val="clear" w:color="auto" w:fill="FFFFFF"/>
      <w:jc w:val="center"/>
      <w:spacing w:before="240" w:line="184" w:lineRule="exact"/>
    </w:pPr>
    <w:rPr>
      <w:b w:val="0"/>
      <w:bCs w:val="0"/>
      <w:i w:val="0"/>
      <w:iCs w:val="0"/>
      <w:u w:val="none"/>
      <w:strike w:val="0"/>
      <w:smallCaps w:val="0"/>
      <w:sz w:val="16"/>
      <w:szCs w:val="16"/>
      <w:rFonts w:ascii="Times New Roman" w:eastAsia="Times New Roman" w:hAnsi="Times New Roman" w:cs="Times New Roman"/>
      <w:spacing w:val="4"/>
    </w:rPr>
  </w:style>
  <w:style w:type="paragraph" w:customStyle="1" w:styleId="Style15">
    <w:name w:val="Основной текст (2)"/>
    <w:basedOn w:val="Normal"/>
    <w:link w:val="CharStyle16"/>
    <w:pPr>
      <w:widowControl w:val="0"/>
      <w:shd w:val="clear" w:color="auto" w:fill="FFFFFF"/>
      <w:spacing w:before="420" w:after="180" w:line="220" w:lineRule="exact"/>
    </w:pPr>
    <w:rPr>
      <w:b/>
      <w:bCs/>
      <w:i w:val="0"/>
      <w:iCs w:val="0"/>
      <w:u w:val="none"/>
      <w:strike w:val="0"/>
      <w:smallCaps w:val="0"/>
      <w:sz w:val="20"/>
      <w:szCs w:val="20"/>
      <w:rFonts w:ascii="Times New Roman" w:eastAsia="Times New Roman" w:hAnsi="Times New Roman" w:cs="Times New Roman"/>
    </w:rPr>
  </w:style>
  <w:style w:type="paragraph" w:customStyle="1" w:styleId="Style25">
    <w:name w:val="Заголовок №1"/>
    <w:basedOn w:val="Normal"/>
    <w:link w:val="CharStyle26"/>
    <w:pPr>
      <w:widowControl w:val="0"/>
      <w:shd w:val="clear" w:color="auto" w:fill="FFFFFF"/>
      <w:jc w:val="right"/>
      <w:outlineLvl w:val="0"/>
      <w:spacing w:before="78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27">
    <w:name w:val="Заголовок №2"/>
    <w:basedOn w:val="Normal"/>
    <w:link w:val="CharStyle28"/>
    <w:pPr>
      <w:widowControl w:val="0"/>
      <w:shd w:val="clear" w:color="auto" w:fill="FFFFFF"/>
      <w:jc w:val="center"/>
      <w:outlineLvl w:val="1"/>
      <w:spacing w:before="240" w:after="24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line="274" w:lineRule="exact"/>
      <w:ind w:firstLine="72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