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numPr>
          <w:ilvl w:val="0"/>
          <w:numId w:val="1"/>
        </w:numPr>
        <w:widowControl w:val="0"/>
        <w:keepNext w:val="0"/>
        <w:keepLines w:val="0"/>
        <w:shd w:val="clear" w:color="auto" w:fill="auto"/>
        <w:bidi w:val="0"/>
        <w:jc w:val="left"/>
        <w:spacing w:before="0" w:after="243" w:line="260" w:lineRule="exact"/>
        <w:ind w:left="5320" w:right="0" w:firstLine="0"/>
      </w:pPr>
      <w:r>
        <w:rPr>
          <w:lang w:val="ru-RU" w:eastAsia="ru-RU" w:bidi="ru-RU"/>
          <w:w w:val="100"/>
          <w:spacing w:val="0"/>
          <w:color w:val="000000"/>
          <w:position w:val="0"/>
        </w:rPr>
        <w:t xml:space="preserve"> ФГБУ «Рослесинфорг»</w:t>
      </w:r>
    </w:p>
    <w:p>
      <w:pPr>
        <w:pStyle w:val="Style5"/>
        <w:widowControl w:val="0"/>
        <w:keepNext w:val="0"/>
        <w:keepLines w:val="0"/>
        <w:shd w:val="clear" w:color="auto" w:fill="auto"/>
        <w:bidi w:val="0"/>
        <w:jc w:val="left"/>
        <w:spacing w:before="0" w:after="289" w:line="322" w:lineRule="exact"/>
        <w:ind w:left="5320" w:right="640" w:firstLine="0"/>
      </w:pPr>
      <w:r>
        <w:rPr>
          <w:lang w:val="ru-RU" w:eastAsia="ru-RU" w:bidi="ru-RU"/>
          <w:w w:val="100"/>
          <w:spacing w:val="0"/>
          <w:color w:val="000000"/>
          <w:position w:val="0"/>
        </w:rPr>
        <w:t xml:space="preserve">Волгоградский пр-кт, д. 45, стр. 1, г. Москва, 109316, </w:t>
      </w:r>
      <w:r>
        <w:fldChar w:fldCharType="begin"/>
      </w:r>
      <w:r>
        <w:rPr>
          <w:color w:val="000000"/>
        </w:rPr>
        <w:instrText> HYPERLINK "mailto:zakupki_44@roslesinforg.ru" </w:instrText>
      </w:r>
      <w:r>
        <w:fldChar w:fldCharType="separate"/>
      </w:r>
      <w:r>
        <w:rPr>
          <w:rStyle w:val="Hyperlink"/>
          <w:lang w:val="en-US" w:eastAsia="en-US" w:bidi="en-US"/>
          <w:w w:val="100"/>
          <w:spacing w:val="0"/>
          <w:position w:val="0"/>
        </w:rPr>
        <w:t>zakupki_44@roslesinforg.ru</w:t>
      </w:r>
      <w:r>
        <w:fldChar w:fldCharType="end"/>
      </w:r>
    </w:p>
    <w:p>
      <w:pPr>
        <w:pStyle w:val="Style5"/>
        <w:numPr>
          <w:ilvl w:val="0"/>
          <w:numId w:val="1"/>
        </w:numPr>
        <w:widowControl w:val="0"/>
        <w:keepNext w:val="0"/>
        <w:keepLines w:val="0"/>
        <w:shd w:val="clear" w:color="auto" w:fill="auto"/>
        <w:bidi w:val="0"/>
        <w:jc w:val="left"/>
        <w:spacing w:before="0" w:after="247" w:line="260" w:lineRule="exact"/>
        <w:ind w:left="5320" w:right="0" w:firstLine="0"/>
      </w:pPr>
      <w:r>
        <w:rPr>
          <w:lang w:val="ru-RU" w:eastAsia="ru-RU" w:bidi="ru-RU"/>
          <w:w w:val="100"/>
          <w:spacing w:val="0"/>
          <w:color w:val="000000"/>
          <w:position w:val="0"/>
        </w:rPr>
        <w:t xml:space="preserve"> ИП Кожевников А.О.</w:t>
      </w:r>
    </w:p>
    <w:p>
      <w:pPr>
        <w:pStyle w:val="Style5"/>
        <w:widowControl w:val="0"/>
        <w:keepNext w:val="0"/>
        <w:keepLines w:val="0"/>
        <w:shd w:val="clear" w:color="auto" w:fill="auto"/>
        <w:bidi w:val="0"/>
        <w:jc w:val="left"/>
        <w:spacing w:before="0" w:after="896" w:line="317" w:lineRule="exact"/>
        <w:ind w:left="5320" w:right="640" w:firstLine="0"/>
      </w:pPr>
      <w:r>
        <w:rPr>
          <w:lang w:val="ru-RU" w:eastAsia="ru-RU" w:bidi="ru-RU"/>
          <w:w w:val="100"/>
          <w:spacing w:val="0"/>
          <w:color w:val="000000"/>
          <w:position w:val="0"/>
        </w:rPr>
        <w:t xml:space="preserve">ул. Солнечная, д. 11, п. Крымское, Забайкальский край, 673300, </w:t>
      </w:r>
      <w:r>
        <w:rPr>
          <w:lang w:val="en-US" w:eastAsia="en-US" w:bidi="en-US"/>
          <w:w w:val="100"/>
          <w:spacing w:val="0"/>
          <w:color w:val="000000"/>
          <w:position w:val="0"/>
        </w:rPr>
        <w:t xml:space="preserve">koj </w:t>
      </w:r>
      <w:r>
        <w:fldChar w:fldCharType="begin"/>
      </w:r>
      <w:r>
        <w:rPr>
          <w:color w:val="000000"/>
        </w:rPr>
        <w:instrText> HYPERLINK "mailto:evnikov1988@yandex.ru" </w:instrText>
      </w:r>
      <w:r>
        <w:fldChar w:fldCharType="separate"/>
      </w:r>
      <w:r>
        <w:rPr>
          <w:rStyle w:val="Hyperlink"/>
          <w:lang w:val="en-US" w:eastAsia="en-US" w:bidi="en-US"/>
          <w:w w:val="100"/>
          <w:spacing w:val="0"/>
          <w:position w:val="0"/>
        </w:rPr>
        <w:t>evnikov1988@yandex.ru</w:t>
      </w:r>
      <w:r>
        <w:fldChar w:fldCharType="end"/>
      </w:r>
    </w:p>
    <w:p>
      <w:pPr>
        <w:pStyle w:val="Style7"/>
        <w:tabs>
          <w:tab w:leader="none" w:pos="12399" w:val="right"/>
        </w:tabs>
        <w:widowControl w:val="0"/>
        <w:keepNext w:val="0"/>
        <w:keepLines w:val="0"/>
        <w:shd w:val="clear" w:color="auto" w:fill="auto"/>
        <w:bidi w:val="0"/>
        <w:jc w:val="left"/>
        <w:spacing w:before="0" w:after="0"/>
        <w:ind w:left="2300" w:right="2280" w:firstLine="2080"/>
      </w:pPr>
      <w:r>
        <w:rPr>
          <w:lang w:val="ru-RU" w:eastAsia="ru-RU" w:bidi="ru-RU"/>
          <w:w w:val="100"/>
          <w:spacing w:val="0"/>
          <w:color w:val="000000"/>
          <w:position w:val="0"/>
        </w:rPr>
        <w:t>РЕШЕНИЕ по делу № 077/06/106-2250/2021 о нарушении законодательства о контрактной системе</w:t>
      </w:r>
    </w:p>
    <w:p>
      <w:pPr>
        <w:pStyle w:val="Style7"/>
        <w:numPr>
          <w:ilvl w:val="0"/>
          <w:numId w:val="3"/>
        </w:numPr>
        <w:tabs>
          <w:tab w:leader="none" w:pos="10099" w:val="right"/>
          <w:tab w:leader="none" w:pos="9139"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Члена Комиссии - ведущего специалиста-эксперта отдела обжалования государственных закупок А.А. Кутейникова,</w:t>
      </w:r>
    </w:p>
    <w:p>
      <w:pPr>
        <w:pStyle w:val="Style3"/>
        <w:framePr w:w="1349" w:h="427" w:wrap="around" w:vAnchor="text" w:hAnchor="margin" w:x="351" w:y="484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001418786353</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ФГБУ «Рослесинфорг», ИП Кожевников А.О., рассмотрев жалобу ИП Кожевников А.О. (далее — Заявитель) на действия ФГБУ «Рослесинфорг» (далее-Заказчик) при проведении электронного аукциона на право заключения государственного контракта на оказание услуг по комплексной уборке здания и территорий. Читинский филиал ФГБУ «Рослесинфорг» (Закупка № 0373100134520001038)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r>
        <w:br w:type="page"/>
      </w:r>
    </w:p>
    <w:p>
      <w:pPr>
        <w:pStyle w:val="Style9"/>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№ЕИ/6991/21 от 09.02.2021.</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Заявитель в жалобе указывает на то, что Заказчиком неправомерно размещен протокол признания участника уклонившимся от заключения контракта от</w:t>
      </w:r>
    </w:p>
    <w:p>
      <w:pPr>
        <w:pStyle w:val="Style5"/>
        <w:numPr>
          <w:ilvl w:val="0"/>
          <w:numId w:val="5"/>
        </w:numPr>
        <w:tabs>
          <w:tab w:leader="none" w:pos="1536"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№ППУ1 по причине непредставления обеспечения исполнения контракта.</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протоколу подведения итогов электронного аукциона от 20.01.2021 №0373100134520001038-2-1 ИП Кожевников А.О. признан победителем электронного аукциона, ценовое предложение составило 445 006,11 руб.</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ч.12 ст.54.7, ч.8 ст.69, ч.8 ст.82.4, ч.23 ст.83.1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ч.2.1 ст.83.2 Закона о контрактной системе), предложенной участником закупки, с которым заключается контракт, либо предложения о цене за право заключения контракта в случае, предусмотренном ч.23 ст.68 Закона о контрактной системе, а также включения представленной в соответствии с Законом о контрактной системе информации о товаре (товарном знаке и (или) конкретных показателях товара, стране происхождения товара), информации, предусмотренной п.2 ч.4 ст.54.4, п.7 ч.9 ст.83.1 Закона о контрактной системе,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ч.4 ст.83.2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заседании Комиссии Управления установлено, что в срок предусмотренный ч.2 ст.83.2 Закона о контрактной системе, Заказчиком 23.01.2021 направлен проект контракта для подписания победителем электронного аукциона в</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лице ИП Кожевников А.О.</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ч.4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ч.2 ст.83.2 Закона о контрактной системе,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Комиссией Управления установлено, что ИП Кожевников А.О. 27.01.2021 размещен посредством функционала электронной площадки ООО «РТС-тендер» протокол разногласий.</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ч.5 ст.83.2 Закона о контрактной системе в течение трех рабочих дней с даты размещения победителем электронной процедуры на электронной площадке в соответствии с ч.4 ст.83.2 Закона о контрактной системе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ч.4 ст.83.2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Комиссией Управления установлено, что Заказчиком 29.01.2021 повторно направлен в адрес ИП Кожевников А.О. на подписание проект государственного контракта.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ч.6 ст.83.2 Закона о контрактной системе в течение трех рабочих дней с даты размещения заказчиком в единой информационной системе и на электронной площадке документов, предусмотренных ч.5 ст.83.2 Закона о контрактной системе, победитель электронной процедуры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ч.3 ст.83.2 Закона о контрактной системе, подтверждающие предоставление обеспечения исполнения контракта и подписанные усиленной электронной подписью указанного лица.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ч.3 ст.96 Закона о контрактной системе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Закона о контрактной системе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установлено, что победителем аукциона в лице ИП Кожевников А.О. в срок, установленный ст. 83.2 Закона о контрактной системе, размещен в единой информационной системе проект контракта, подписанный лицом, имеющим право действовать от имени победителя аукциона, а также документ, подтверждающий предоставление обеспечения исполнения контракта в виде денежных средств в размере 55 625,76 рублей (Чек по операции Сбербанк онлайн — номер операции: 2880010).</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возражениям Заказчика денежные средства, представленные в качестве обеспечения контракта по указанному чеку поступили от плательщика Кожевниковой Ольги Васильевны, при этом данное лицо не принимало участие в рассматриваемом аукционе. Исходя из данных обстоятельств Заказчиком опубликован протокол признания участника уклонившимся от заключения контракта, поскольку победителем аукциона в лице ИП Кожевников А.О. не представлено обеспечение исполнения контракта в срок, установленный для заключения контракта.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свою очередь, согласно доводам жалобы, Заявитель не оспаривает факт перечисления денежных средств физическим лицом О.В.Кожевниковой, а указывает, что предоставление обеспечения исполнения контракта таким образом осуществлено победителем аукциона ввиду обременения счета ИП Кожевников А.О.</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Вместе с тем Комиссия Управления отмечает, что из содержания ч. 4 ст. 96 Закона о контрактной системе следует, что обеспечение исполнения контракта предоставляется исключительно и непосредственно участником закупки. Возможность предоставления обеспечения заявки иным лицом нормами Закона о контрактной системе не предусмотрена.</w:t>
      </w:r>
    </w:p>
    <w:p>
      <w:pPr>
        <w:pStyle w:val="Style5"/>
        <w:tabs>
          <w:tab w:leader="none" w:pos="4234" w:val="right"/>
          <w:tab w:leader="none" w:pos="4513"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При этом из положений ч. 3 ст. 96 Закона о контрактной системе следует, что обеспечение заявки может быть предоставлено участником закупки одним из двух способов на его выбор:</w:t>
        <w:tab/>
        <w:t>либо</w:t>
        <w:tab/>
        <w:t>путем внесения денежных средств, либо</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предоставлением банковской гарантией. Таким образом, если участник закупки не может внести обеспечение заявки на участие в конкурсе самостоятельно, он вправе предоставить банковскую гарантию.</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Предоставление обеспечения заявки иным лицом, не участником закупки не может быть признано надлежащим способом внесения обеспечения, поскольку данный способ не отвечает требованиям безотзывности денежных средств, а также надежности лица, которое их внесло.</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Порядок заключения и исполнения договора банковского счета установлен главой 45 Гражданского кодекса Российской Федерации (далее — ГК РФ).</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 1 ст. 845 ГК РФ по договору банковского счета банк обязуется принимать и зачислять поступающие на счет, открытый клиенту (владельцу счета), денежные средства, выполнять распоряжения клиента о перечислении и выдаче соответствующих сумм со счета и проведении других операций по счету.</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Банк обязан совершать для клиента операции, предусмотренные для счетов данного вида законом, установленными в соответствии с ним банковскими правилами и применяемыми в банковской практике обычаями делового оборота, если договором банковского счета не предусмотрено иное (ст. 848 ГК РФ).</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 1 ст. 845 ГК РФ списание денежных средств со счета осуществляется банком на основании распоряжения клиента.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пунктом 2.14 «Положения о правилах осуществления перевода денежных средств», утвержденных Банком России 19.06.2012 № 383-П отзыв распоряжения осуществляется до наступления безотзывности перевода денежных средств.</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Отзыв распоряжения, переданного в целях осуществления перевода денежных средств по банковскому счету, осуществляется на основании заявления об отзыве в электронном виде или на бумажном носителе, представленного отправителем распоряжения в банк.</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Банк не позднее рабочего дня, следующего за днем поступления заявления об отзыве, направляет отправителю распоряжения уведомление в электронном виде или на бумажном носителе об отзыве с указанием даты, возможности (невозможности в связи с наступлением безотзывности перевода денежных средств) отзыва распоряжения и проставлением на распоряжении на бумажном носителе штампа банка и подписи уполномоченного лица банка.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Заявление об отзыве служит основанием для возврата (аннулирования) банком распоряжения.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Учитывая вышеуказанные нормы ГК РФ, «Положений о правилах осуществления перевода денежных средств», утвержденных Банком России 19.06.2012 № 383-П, Комиссия Управления приходит к выводу о том, что платежное поручение об оплате обеспечения может быть отозвано лицом, осуществившим перевод денежных средств за участника закупки, то есть данное платежное поручение не является безотзывным.</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 победитель аукциона, который внес обеспечение исполнения контракта самостоятельно, не заинтересован в отзыве распоряжения о перечислении денежных средств, поскольку заинтересован в заключении и исполнении контракта. Однако у лица, которое не является участником закупки, такой интерес отсутствует, а в связи с этим отсутствуют и какие-либо факторы, ограничивающие его от отзыва распоряжения о перечислении денежных средств со своего счета в обеспечении исполнении контракта за победителя аукциона, в том случае, если он в процессе хозяйственных отношений с этим лицом посчитал необходимым вернуть принадлежавшие ему денежные средства либо по иным причинам решил произвести возврат денежных средств. При этом заказчик учитывая, что указанное лицо не является участником аукциона будет обязан произвести возврат денежных средств в силу отсутствия правовых оснований на их удержание.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любом случае заказчик не обязан вникать в правоотношения между победителем и третьими лицами, перечислившим за победителя аукциона денежные средства в обеспечение исполнения контракта.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Таким образом, перечисление обеспечения исполнения контракта за участника закупки, с которым заключается контракт, иным лицом может повлечь за собой ряд негативных последствий.</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связи с этим законодателем четко определен перечень лиц, имею</w:t>
      </w:r>
      <w:r>
        <w:rPr>
          <w:rStyle w:val="CharStyle11"/>
        </w:rPr>
        <w:t>щи</w:t>
      </w:r>
      <w:r>
        <w:rPr>
          <w:lang w:val="ru-RU" w:eastAsia="ru-RU" w:bidi="ru-RU"/>
          <w:w w:val="100"/>
          <w:spacing w:val="0"/>
          <w:color w:val="000000"/>
          <w:position w:val="0"/>
        </w:rPr>
        <w:t>х право вносить обеспечение исполнения контракта.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ч.5 ст.96 Закона о контрактной системе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с учетом вышеизложенного, в действиях Заказчика не выявлено нарушений Закона о контрактной системе, в связи с чем Комиссия Управления приходит к выводу о необоснованности доводов жалобы.</w:t>
      </w:r>
    </w:p>
    <w:p>
      <w:pPr>
        <w:pStyle w:val="Style5"/>
        <w:widowControl w:val="0"/>
        <w:keepNext w:val="0"/>
        <w:keepLines w:val="0"/>
        <w:shd w:val="clear" w:color="auto" w:fill="auto"/>
        <w:bidi w:val="0"/>
        <w:jc w:val="both"/>
        <w:spacing w:before="0" w:after="34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9"/>
        <w:widowControl w:val="0"/>
        <w:keepNext/>
        <w:keepLines/>
        <w:shd w:val="clear" w:color="auto" w:fill="auto"/>
        <w:bidi w:val="0"/>
        <w:spacing w:before="0" w:after="304" w:line="260" w:lineRule="exact"/>
        <w:ind w:left="60" w:right="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 xml:space="preserve"> Признать жалобу ИП Кожевников А.О. на действия ФГБУ «Рослесинфорг» необоснованной.</w:t>
      </w:r>
    </w:p>
    <w:p>
      <w:pPr>
        <w:pStyle w:val="Style5"/>
        <w:numPr>
          <w:ilvl w:val="0"/>
          <w:numId w:val="7"/>
        </w:numPr>
        <w:widowControl w:val="0"/>
        <w:keepNext w:val="0"/>
        <w:keepLines w:val="0"/>
        <w:shd w:val="clear" w:color="auto" w:fill="auto"/>
        <w:bidi w:val="0"/>
        <w:jc w:val="both"/>
        <w:spacing w:before="0" w:after="304" w:line="326" w:lineRule="exact"/>
        <w:ind w:left="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№ЕИ/6991/21 от 09.02.2021.</w:t>
      </w:r>
    </w:p>
    <w:p>
      <w:pPr>
        <w:pStyle w:val="Style5"/>
        <w:widowControl w:val="0"/>
        <w:keepNext w:val="0"/>
        <w:keepLines w:val="0"/>
        <w:shd w:val="clear" w:color="auto" w:fill="auto"/>
        <w:bidi w:val="0"/>
        <w:jc w:val="both"/>
        <w:spacing w:before="0" w:after="349"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установленным гл. 24 АПК РФ.</w:t>
      </w:r>
    </w:p>
    <w:p>
      <w:pPr>
        <w:pStyle w:val="Style5"/>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Председательствующий:</w:t>
      </w:r>
    </w:p>
    <w:p>
      <w:pPr>
        <w:pStyle w:val="Style5"/>
        <w:tabs>
          <w:tab w:leader="none" w:pos="8760" w:val="center"/>
          <w:tab w:leader="none" w:pos="10075"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ДА.</w:t>
        <w:tab/>
        <w:t>Сологов</w:t>
      </w:r>
    </w:p>
    <w:p>
      <w:pPr>
        <w:pStyle w:val="Style5"/>
        <w:tabs>
          <w:tab w:leader="none" w:pos="8707"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К.А. Сомов</w:t>
      </w:r>
    </w:p>
    <w:p>
      <w:pPr>
        <w:pStyle w:val="Style5"/>
        <w:tabs>
          <w:tab w:leader="none" w:pos="8102" w:val="left"/>
        </w:tabs>
        <w:widowControl w:val="0"/>
        <w:keepNext w:val="0"/>
        <w:keepLines w:val="0"/>
        <w:shd w:val="clear" w:color="auto" w:fill="auto"/>
        <w:bidi w:val="0"/>
        <w:jc w:val="both"/>
        <w:spacing w:before="0" w:after="1267" w:line="638" w:lineRule="exact"/>
        <w:ind w:left="0" w:right="0" w:firstLine="0"/>
      </w:pPr>
      <w:r>
        <w:rPr>
          <w:lang w:val="ru-RU" w:eastAsia="ru-RU" w:bidi="ru-RU"/>
          <w:w w:val="100"/>
          <w:spacing w:val="0"/>
          <w:color w:val="000000"/>
          <w:position w:val="0"/>
        </w:rPr>
        <w:t>Член Комиссии</w:t>
        <w:tab/>
        <w:t>А.А. Кутейников</w:t>
      </w:r>
    </w:p>
    <w:p>
      <w:pPr>
        <w:pStyle w:val="Style12"/>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Сомов К.А. 8(495)784-75-05 (077-143)</w:t>
      </w:r>
    </w:p>
    <w:sectPr>
      <w:footnotePr>
        <w:pos w:val="pageBottom"/>
        <w:numFmt w:val="decimal"/>
        <w:numRestart w:val="continuous"/>
      </w:footnotePr>
      <w:type w:val="continuous"/>
      <w:pgSz w:w="11906" w:h="16838"/>
      <w:pgMar w:top="1185" w:left="852" w:right="840"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1.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02.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9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9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