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49"/>
        <w:ind w:left="1160" w:right="20" w:firstLine="0"/>
      </w:pPr>
      <w:r>
        <w:rPr>
          <w:lang w:val="ru-RU" w:eastAsia="ru-RU" w:bidi="ru-RU"/>
          <w:w w:val="100"/>
          <w:spacing w:val="0"/>
          <w:color w:val="000000"/>
          <w:position w:val="0"/>
        </w:rPr>
        <w:t>ФГБУ «НМИЦ ТО им. Н.Н. Приорова» Минздрава России</w:t>
      </w:r>
    </w:p>
    <w:p>
      <w:pPr>
        <w:pStyle w:val="Style5"/>
        <w:widowControl w:val="0"/>
        <w:keepNext w:val="0"/>
        <w:keepLines w:val="0"/>
        <w:shd w:val="clear" w:color="auto" w:fill="auto"/>
        <w:bidi w:val="0"/>
        <w:spacing w:before="0" w:after="352" w:line="260" w:lineRule="exact"/>
        <w:ind w:left="1160" w:right="0" w:firstLine="0"/>
      </w:pPr>
      <w:r>
        <w:rPr>
          <w:lang w:val="ru-RU" w:eastAsia="ru-RU" w:bidi="ru-RU"/>
          <w:w w:val="100"/>
          <w:spacing w:val="0"/>
          <w:color w:val="000000"/>
          <w:position w:val="0"/>
        </w:rPr>
        <w:t>ул. Приорова, д. 10, г. Москва, 127299</w:t>
      </w:r>
    </w:p>
    <w:p>
      <w:pPr>
        <w:pStyle w:val="Style5"/>
        <w:widowControl w:val="0"/>
        <w:keepNext w:val="0"/>
        <w:keepLines w:val="0"/>
        <w:shd w:val="clear" w:color="auto" w:fill="auto"/>
        <w:bidi w:val="0"/>
        <w:spacing w:before="0" w:after="303" w:line="260" w:lineRule="exact"/>
        <w:ind w:left="1160" w:right="0" w:firstLine="0"/>
      </w:pPr>
      <w:r>
        <w:rPr>
          <w:lang w:val="ru-RU" w:eastAsia="ru-RU" w:bidi="ru-RU"/>
          <w:w w:val="100"/>
          <w:spacing w:val="0"/>
          <w:color w:val="000000"/>
          <w:position w:val="0"/>
        </w:rPr>
        <w:t>ООО «Юнитех-М»</w:t>
      </w:r>
    </w:p>
    <w:p>
      <w:pPr>
        <w:pStyle w:val="Style5"/>
        <w:widowControl w:val="0"/>
        <w:keepNext w:val="0"/>
        <w:keepLines w:val="0"/>
        <w:shd w:val="clear" w:color="auto" w:fill="auto"/>
        <w:bidi w:val="0"/>
        <w:spacing w:before="0" w:after="2040"/>
        <w:ind w:left="1160" w:right="20" w:firstLine="0"/>
      </w:pPr>
      <w:r>
        <w:rPr>
          <w:lang w:val="ru-RU" w:eastAsia="ru-RU" w:bidi="ru-RU"/>
          <w:w w:val="100"/>
          <w:spacing w:val="0"/>
          <w:color w:val="000000"/>
          <w:position w:val="0"/>
        </w:rPr>
        <w:t>Богородский мкр-н., д. 6, к. 40, г. Щелково, Щелковский р-н., Московская обл., 141107</w:t>
      </w:r>
    </w:p>
    <w:p>
      <w:pPr>
        <w:pStyle w:val="Style8"/>
        <w:tabs>
          <w:tab w:leader="none" w:pos="10028" w:val="right"/>
        </w:tabs>
        <w:widowControl w:val="0"/>
        <w:keepNext w:val="0"/>
        <w:keepLines w:val="0"/>
        <w:shd w:val="clear" w:color="auto" w:fill="auto"/>
        <w:bidi w:val="0"/>
        <w:jc w:val="left"/>
        <w:spacing w:before="0" w:after="0"/>
        <w:ind w:left="20" w:right="180" w:firstLine="4360"/>
      </w:pPr>
      <w:r>
        <w:rPr>
          <w:lang w:val="ru-RU" w:eastAsia="ru-RU" w:bidi="ru-RU"/>
          <w:w w:val="100"/>
          <w:spacing w:val="0"/>
          <w:color w:val="000000"/>
          <w:position w:val="0"/>
        </w:rPr>
        <w:t>РЕШЕНИЕ по делу №077/06/106-1939/2021 о нарушении законодательства о контрактной системе 09.02.2021</w:t>
        <w:tab/>
        <w:t>г.Москва</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Члена Комиссии — специалиста 1 разряда отдела обжалования государственных закупок А.А. Матюшенко,</w:t>
      </w:r>
    </w:p>
    <w:p>
      <w:pPr>
        <w:pStyle w:val="Style5"/>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ФГБУ «НМ</w:t>
      </w:r>
      <w:r>
        <w:rPr>
          <w:rStyle w:val="CharStyle10"/>
        </w:rPr>
        <w:t>ИЦ</w:t>
      </w:r>
      <w:r>
        <w:rPr>
          <w:lang w:val="ru-RU" w:eastAsia="ru-RU" w:bidi="ru-RU"/>
          <w:w w:val="100"/>
          <w:spacing w:val="0"/>
          <w:color w:val="000000"/>
          <w:position w:val="0"/>
        </w:rPr>
        <w:t xml:space="preserve"> ТО им. Н.Н. Приорова» Минздрава России: О.И. Бонченко (дов. № 1 от 11.01.2021),</w:t>
      </w:r>
    </w:p>
    <w:p>
      <w:pPr>
        <w:pStyle w:val="Style3"/>
        <w:framePr w:w="1349" w:h="427" w:wrap="around" w:vAnchor="text" w:hAnchor="margin" w:x="351" w:y="203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001686013490</w:t>
      </w:r>
    </w:p>
    <w:p>
      <w:pPr>
        <w:pStyle w:val="Style5"/>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ООО «Юнитех-М»: Э.И. Сиразетдинов (дов. № б/н от 27.04.2020), рассмотрев жалобу ООО «Юнитех-М» (далее — Заявитель) на действия ФГБУ «НМ</w:t>
      </w:r>
      <w:r>
        <w:rPr>
          <w:rStyle w:val="CharStyle10"/>
        </w:rPr>
        <w:t>ИЦ</w:t>
      </w:r>
      <w:r>
        <w:rPr>
          <w:lang w:val="ru-RU" w:eastAsia="ru-RU" w:bidi="ru-RU"/>
          <w:w w:val="100"/>
          <w:spacing w:val="0"/>
          <w:color w:val="000000"/>
          <w:position w:val="0"/>
        </w:rPr>
        <w:t xml:space="preserve"> ТО им. Н.Н. Приорова» Минздрава России (далее — Заказчик) при проведении электронного аукциона на право заключения государственного контракта на оказание услуг по техническому обслуживанию медицинского</w:t>
      </w:r>
      <w:r>
        <w:br w:type="page"/>
      </w:r>
    </w:p>
    <w:p>
      <w:pPr>
        <w:pStyle w:val="Style5"/>
        <w:widowControl w:val="0"/>
        <w:keepNext w:val="0"/>
        <w:keepLines w:val="0"/>
        <w:shd w:val="clear" w:color="auto" w:fill="auto"/>
        <w:bidi w:val="0"/>
        <w:spacing w:before="0" w:after="349"/>
        <w:ind w:left="0" w:right="20" w:firstLine="0"/>
      </w:pPr>
      <w:r>
        <w:rPr>
          <w:lang w:val="ru-RU" w:eastAsia="ru-RU" w:bidi="ru-RU"/>
          <w:w w:val="100"/>
          <w:spacing w:val="0"/>
          <w:color w:val="000000"/>
          <w:position w:val="0"/>
        </w:rPr>
        <w:t>оборудования для нужд ФГБУ «НМ</w:t>
      </w:r>
      <w:r>
        <w:rPr>
          <w:rStyle w:val="CharStyle10"/>
        </w:rPr>
        <w:t>ИЦ</w:t>
      </w:r>
      <w:r>
        <w:rPr>
          <w:lang w:val="ru-RU" w:eastAsia="ru-RU" w:bidi="ru-RU"/>
          <w:w w:val="100"/>
          <w:spacing w:val="0"/>
          <w:color w:val="000000"/>
          <w:position w:val="0"/>
        </w:rPr>
        <w:t xml:space="preserve"> ТО им. Н.Н. Приорова» Минздрава России (Закупка № 0373100068320000334)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1"/>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04.02.2021 №ЕИ/6053/21.</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01.02.2021 №ППУ1 в связи с непредставлением надлежащего обеспечения исполнения контракта.</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Согласно протоколу подведения итогов электронного аукциона от 14.01.2021 №0373100068320000334-3-1 ООО «Юнитех-М» признано победителем электронного аукциона с начальной максимальной ценой контракта 2 930 351,00 руб, при этом снижение предложенной цены на аукционе достигло 60%.</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силу с ч.2 ст.83.2 Закона о контрактной системе в течение пяти дней с даты размещения в единой информационной системе указанных в ч.12 ст.54.7, ч.8 ст.69,</w:t>
      </w:r>
    </w:p>
    <w:p>
      <w:pPr>
        <w:pStyle w:val="Style5"/>
        <w:numPr>
          <w:ilvl w:val="0"/>
          <w:numId w:val="1"/>
        </w:numPr>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ч.23 ст.68 Закона о контрактной системе, информации о товаре (товарном знаке и (или) конкретных показателях товара), информации, предусмотренной п.2 ч.4 ст.54.4, п.7</w:t>
      </w:r>
    </w:p>
    <w:p>
      <w:pPr>
        <w:pStyle w:val="Style5"/>
        <w:numPr>
          <w:ilvl w:val="0"/>
          <w:numId w:val="1"/>
        </w:numPr>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 ст.83.1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На заседании Комиссии Управления установлено, что Заказчиком 25.01.2021 размещен проект контракта для подписания победителем аукциона в лице Заявителя.</w:t>
      </w:r>
    </w:p>
    <w:p>
      <w:pPr>
        <w:pStyle w:val="Style5"/>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В соответствии с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ч.4 ст.83.2 Закона о контрактной системе.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ч.1 ст.37 Закона о контрактной системе, обеспечение исполнения контракта или информацию, предусмотренные ч.2 ст.37 Закона о контрактной системе, а также обоснование цены контракта в соответствии с ч.9 ст.37 Закона о контрактной системе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п.8 ст.42 Закона о контрактной системе в извещении об осуществлении закупки должны содержаться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ст.96 Закона о контрактной системе), а также информация о банковском сопровождении контракта в соответствии со ст.35 Закона о контрактной системе.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ч.3 ст.96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о контрактной системе.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 «Размер обеспечения исполнения контракта, срок и порядок его предоставления» Информационной карты аукционной документации сумма обеспечения исполнения контракта установлена в размере 30% от НМЦК - 879 105,30 (Восемьсот семьдесят девять тысяч сто пять) рублей 30 копеек.</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ч.2 ст.37 Закона о контрактной системе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ч.1 ст.37 Закона о контрактной системе, или информации, подтверждающей добросовестность такого участника в соответствии с ч.3 ст.37 Закона о контрактной системе,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ч.2 ст.106 Закона о контрактной системе лица, права и законные</w:t>
      </w:r>
      <w:r>
        <w:rPr>
          <w:lang w:val="ru-RU" w:eastAsia="ru-RU" w:bidi="ru-RU"/>
          <w:w w:val="100"/>
          <w:spacing w:val="0"/>
          <w:color w:val="000000"/>
          <w:position w:val="0"/>
        </w:rPr>
        <w:t xml:space="preserve"> интересы которых непосредственно затрагиваются в результате рассмотрения </w:t>
      </w:r>
      <w:r>
        <w:rPr>
          <w:lang w:val="ru-RU" w:eastAsia="ru-RU" w:bidi="ru-RU"/>
          <w:w w:val="100"/>
          <w:spacing w:val="0"/>
          <w:color w:val="000000"/>
          <w:position w:val="0"/>
        </w:rPr>
        <w:t>жалобы, вправе направить в контрольный орган в сфере закупок возражения на</w:t>
      </w:r>
      <w:r>
        <w:rPr>
          <w:lang w:val="ru-RU" w:eastAsia="ru-RU" w:bidi="ru-RU"/>
          <w:w w:val="100"/>
          <w:spacing w:val="0"/>
          <w:color w:val="000000"/>
          <w:position w:val="0"/>
        </w:rPr>
        <w:t xml:space="preserve"> </w:t>
      </w:r>
      <w:r>
        <w:rPr>
          <w:lang w:val="ru-RU" w:eastAsia="ru-RU" w:bidi="ru-RU"/>
          <w:w w:val="100"/>
          <w:spacing w:val="0"/>
          <w:color w:val="000000"/>
          <w:position w:val="0"/>
        </w:rPr>
        <w:t>жалобу и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На заседании Комиссии Управления представитель Заказчика пояснил, что Заявителем при направлении подписанного проекта контракта представлено обеспечение исполнения контракта в виде банковской гарантии от 26.01.2021 </w:t>
      </w:r>
      <w:r>
        <w:rPr>
          <w:lang w:val="en-US" w:eastAsia="en-US" w:bidi="en-US"/>
          <w:w w:val="100"/>
          <w:spacing w:val="0"/>
          <w:color w:val="000000"/>
          <w:position w:val="0"/>
        </w:rPr>
        <w:t xml:space="preserve">№102625LR8TZR2Q0AQ0QQ8RR, </w:t>
      </w:r>
      <w:r>
        <w:rPr>
          <w:lang w:val="ru-RU" w:eastAsia="ru-RU" w:bidi="ru-RU"/>
          <w:w w:val="100"/>
          <w:spacing w:val="0"/>
          <w:color w:val="000000"/>
          <w:position w:val="0"/>
        </w:rPr>
        <w:t>выданной ПАО «Сбербанк России», в размере 879 105,30 рублей без информации, подтверждающей добросовестность участника закупки, что напрямую не соответствует требованиям ст.37 Закона о контрактной системе.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 9 ст. 105 Закона о контрактной системе к жалобе</w:t>
      </w:r>
      <w:r>
        <w:rPr>
          <w:lang w:val="ru-RU" w:eastAsia="ru-RU" w:bidi="ru-RU"/>
          <w:w w:val="100"/>
          <w:spacing w:val="0"/>
          <w:color w:val="000000"/>
          <w:position w:val="0"/>
        </w:rPr>
        <w:t xml:space="preserve"> </w:t>
      </w:r>
      <w:r>
        <w:rPr>
          <w:lang w:val="ru-RU" w:eastAsia="ru-RU" w:bidi="ru-RU"/>
          <w:w w:val="100"/>
          <w:spacing w:val="0"/>
          <w:color w:val="000000"/>
          <w:position w:val="0"/>
        </w:rPr>
        <w:t>прикладываются документы, подтверждающие ее обоснованность. При этом жалоба</w:t>
      </w:r>
      <w:r>
        <w:rPr>
          <w:lang w:val="ru-RU" w:eastAsia="ru-RU" w:bidi="ru-RU"/>
          <w:w w:val="100"/>
          <w:spacing w:val="0"/>
          <w:color w:val="000000"/>
          <w:position w:val="0"/>
        </w:rPr>
        <w:t xml:space="preserve"> </w:t>
      </w:r>
      <w:r>
        <w:rPr>
          <w:lang w:val="ru-RU" w:eastAsia="ru-RU" w:bidi="ru-RU"/>
          <w:w w:val="100"/>
          <w:spacing w:val="0"/>
          <w:color w:val="000000"/>
          <w:position w:val="0"/>
        </w:rPr>
        <w:t>должна содержать перечень прилагаемых к ней документов.</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заседании Комиссии Управления представитель Заявителя пояснил, что представленная банковская гарантия полностью соответствует требованиям аукционной документации, так как в составе документации установлен конкретный размер обеспечения контракта без указания размера обеспечения при применении антидемпинговых мер, таким образом, в данном конкретном случае, по мнению Заявителя, положения ч.1, ч.2 ст.37 Закона о контрактной системе не могут быть применены, ввиду отсутствия в аукционной документации прямого на то указания.</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Комиссия Управления отмечает, что указание Заказчиком в составе аукционной документации и/или проекта государственного контракта конкретного размера обеспечения не влечет за собой освобождение участника закупки от обязанности соблюдения антидемпинговых мер, соблюдение которых по смыслу законодательства находится в поле ответственности участника закупки.</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Законом о контрактной системе Заказчику не вменяется обязанность по обеспечению соблюдения участниками закупки положений ст.37 Закона о контрактной системе. При этом, необходимо отметить, что в п. «Заключение контракта» Информационной карты аукционной документации имеется прямое указание на ст.37 Закона о контрактной системе, а именно: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статьи 37 Федерального закона №44 ФЗ».</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Согласно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Согласно ч.6 ст.37 Закона о контрактной системе обеспечение, указанное в ч.1 и 2 ст.37 Закона о контрактной системе,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силу ч.13 ст.83.2 Закона о контрактной системе победитель электронной</w:t>
      </w:r>
      <w:r>
        <w:rPr>
          <w:lang w:val="ru-RU" w:eastAsia="ru-RU" w:bidi="ru-RU"/>
          <w:w w:val="100"/>
          <w:spacing w:val="0"/>
          <w:color w:val="000000"/>
          <w:position w:val="0"/>
        </w:rPr>
        <w:t xml:space="preserve"> </w:t>
      </w:r>
      <w:r>
        <w:rPr>
          <w:lang w:val="ru-RU" w:eastAsia="ru-RU" w:bidi="ru-RU"/>
          <w:w w:val="100"/>
          <w:spacing w:val="0"/>
          <w:color w:val="000000"/>
          <w:position w:val="0"/>
        </w:rPr>
        <w:t>процедуры (за исключением победителя, предусмотренного ч.14 ст.83.2 Закона о</w:t>
      </w:r>
      <w:r>
        <w:rPr>
          <w:lang w:val="ru-RU" w:eastAsia="ru-RU" w:bidi="ru-RU"/>
          <w:w w:val="100"/>
          <w:spacing w:val="0"/>
          <w:color w:val="000000"/>
          <w:position w:val="0"/>
        </w:rPr>
        <w:t xml:space="preserve"> </w:t>
      </w:r>
      <w:r>
        <w:rPr>
          <w:lang w:val="ru-RU" w:eastAsia="ru-RU" w:bidi="ru-RU"/>
          <w:w w:val="100"/>
          <w:spacing w:val="0"/>
          <w:color w:val="000000"/>
          <w:position w:val="0"/>
        </w:rPr>
        <w:t>контрактной системе) признается заказчиком уклонившимся от заключения</w:t>
      </w:r>
      <w:r>
        <w:rPr>
          <w:lang w:val="ru-RU" w:eastAsia="ru-RU" w:bidi="ru-RU"/>
          <w:w w:val="100"/>
          <w:spacing w:val="0"/>
          <w:color w:val="000000"/>
          <w:position w:val="0"/>
        </w:rPr>
        <w:t xml:space="preserve"> </w:t>
      </w:r>
      <w:r>
        <w:rPr>
          <w:lang w:val="ru-RU" w:eastAsia="ru-RU" w:bidi="ru-RU"/>
          <w:w w:val="100"/>
          <w:spacing w:val="0"/>
          <w:color w:val="000000"/>
          <w:position w:val="0"/>
        </w:rPr>
        <w:t>контракта в случае, если в сроки, предусмотренные настоящей статьей, он не</w:t>
      </w:r>
      <w:r>
        <w:rPr>
          <w:lang w:val="ru-RU" w:eastAsia="ru-RU" w:bidi="ru-RU"/>
          <w:w w:val="100"/>
          <w:spacing w:val="0"/>
          <w:color w:val="000000"/>
          <w:position w:val="0"/>
        </w:rPr>
        <w:t xml:space="preserve"> направил заказчику проект контракта, подписанный лицом, имеющим право действовать от имени такого победителя, или не направил протокол разногласий, </w:t>
      </w:r>
      <w:r>
        <w:rPr>
          <w:lang w:val="ru-RU" w:eastAsia="ru-RU" w:bidi="ru-RU"/>
          <w:w w:val="100"/>
          <w:spacing w:val="0"/>
          <w:color w:val="000000"/>
          <w:position w:val="0"/>
        </w:rPr>
        <w:t>предусмотренный ч.4 ст.83.2 Закона о контрактной системе, или не исполнил</w:t>
      </w:r>
      <w:r>
        <w:rPr>
          <w:lang w:val="ru-RU" w:eastAsia="ru-RU" w:bidi="ru-RU"/>
          <w:w w:val="100"/>
          <w:spacing w:val="0"/>
          <w:color w:val="000000"/>
          <w:position w:val="0"/>
        </w:rPr>
        <w:t xml:space="preserve"> </w:t>
      </w:r>
      <w:r>
        <w:rPr>
          <w:lang w:val="ru-RU" w:eastAsia="ru-RU" w:bidi="ru-RU"/>
          <w:w w:val="100"/>
          <w:spacing w:val="0"/>
          <w:color w:val="000000"/>
          <w:position w:val="0"/>
        </w:rPr>
        <w:t>требования, предусмотренные ст.37 Закона о контрактной системе (в случае</w:t>
      </w:r>
      <w:r>
        <w:rPr>
          <w:lang w:val="ru-RU" w:eastAsia="ru-RU" w:bidi="ru-RU"/>
          <w:w w:val="100"/>
          <w:spacing w:val="0"/>
          <w:color w:val="000000"/>
          <w:position w:val="0"/>
        </w:rPr>
        <w:t xml:space="preserve"> </w:t>
      </w:r>
      <w:r>
        <w:rPr>
          <w:lang w:val="ru-RU" w:eastAsia="ru-RU" w:bidi="ru-RU"/>
          <w:w w:val="100"/>
          <w:spacing w:val="0"/>
          <w:color w:val="000000"/>
          <w:position w:val="0"/>
        </w:rPr>
        <w:t>снижения при проведении электронного аукциона или конкурса цены контракта на</w:t>
      </w:r>
      <w:r>
        <w:rPr>
          <w:lang w:val="ru-RU" w:eastAsia="ru-RU" w:bidi="ru-RU"/>
          <w:w w:val="100"/>
          <w:spacing w:val="0"/>
          <w:color w:val="000000"/>
          <w:position w:val="0"/>
        </w:rPr>
        <w:t xml:space="preserve">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w:t>
      </w:r>
      <w:r>
        <w:rPr>
          <w:lang w:val="ru-RU" w:eastAsia="ru-RU" w:bidi="ru-RU"/>
          <w:w w:val="100"/>
          <w:spacing w:val="0"/>
          <w:color w:val="000000"/>
          <w:position w:val="0"/>
        </w:rPr>
        <w:t>такого признания, а также реквизиты документов, подтверждающих этот факт.</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Таким образом, Комиссия Управления приходит к выводу о необоснованности</w:t>
      </w:r>
      <w:r>
        <w:rPr>
          <w:lang w:val="ru-RU" w:eastAsia="ru-RU" w:bidi="ru-RU"/>
          <w:w w:val="100"/>
          <w:spacing w:val="0"/>
          <w:color w:val="000000"/>
          <w:position w:val="0"/>
        </w:rPr>
        <w:t xml:space="preserve"> </w:t>
      </w:r>
      <w:r>
        <w:rPr>
          <w:lang w:val="ru-RU" w:eastAsia="ru-RU" w:bidi="ru-RU"/>
          <w:w w:val="100"/>
          <w:spacing w:val="0"/>
          <w:color w:val="000000"/>
          <w:position w:val="0"/>
        </w:rPr>
        <w:t>доводов жалобы Заявителя, поскольку у Заказчика имелись основания,</w:t>
      </w:r>
      <w:r>
        <w:rPr>
          <w:lang w:val="ru-RU" w:eastAsia="ru-RU" w:bidi="ru-RU"/>
          <w:w w:val="100"/>
          <w:spacing w:val="0"/>
          <w:color w:val="000000"/>
          <w:position w:val="0"/>
        </w:rPr>
        <w:t xml:space="preserve"> </w:t>
      </w:r>
      <w:r>
        <w:rPr>
          <w:lang w:val="ru-RU" w:eastAsia="ru-RU" w:bidi="ru-RU"/>
          <w:w w:val="100"/>
          <w:spacing w:val="0"/>
          <w:color w:val="000000"/>
          <w:position w:val="0"/>
        </w:rPr>
        <w:t>предусмотренные ч.5 ст.96, ч.13 ст.83.2 Закона о контрактной системе, для отказа в</w:t>
      </w:r>
      <w:r>
        <w:rPr>
          <w:lang w:val="ru-RU" w:eastAsia="ru-RU" w:bidi="ru-RU"/>
          <w:w w:val="100"/>
          <w:spacing w:val="0"/>
          <w:color w:val="000000"/>
          <w:position w:val="0"/>
        </w:rPr>
        <w:t xml:space="preserve"> </w:t>
      </w:r>
      <w:r>
        <w:rPr>
          <w:lang w:val="ru-RU" w:eastAsia="ru-RU" w:bidi="ru-RU"/>
          <w:w w:val="100"/>
          <w:spacing w:val="0"/>
          <w:color w:val="000000"/>
          <w:position w:val="0"/>
        </w:rPr>
        <w:t>принятии банковской гарантии, направленной в качестве обеспечения исполнения</w:t>
      </w:r>
      <w:r>
        <w:rPr>
          <w:lang w:val="ru-RU" w:eastAsia="ru-RU" w:bidi="ru-RU"/>
          <w:w w:val="100"/>
          <w:spacing w:val="0"/>
          <w:color w:val="000000"/>
          <w:position w:val="0"/>
        </w:rPr>
        <w:t xml:space="preserve"> </w:t>
      </w:r>
      <w:r>
        <w:rPr>
          <w:lang w:val="ru-RU" w:eastAsia="ru-RU" w:bidi="ru-RU"/>
          <w:w w:val="100"/>
          <w:spacing w:val="0"/>
          <w:color w:val="000000"/>
          <w:position w:val="0"/>
        </w:rPr>
        <w:t>контракта.</w:t>
      </w:r>
    </w:p>
    <w:p>
      <w:pPr>
        <w:pStyle w:val="Style5"/>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r>
        <w:br w:type="page"/>
      </w:r>
    </w:p>
    <w:p>
      <w:pPr>
        <w:pStyle w:val="Style8"/>
        <w:widowControl w:val="0"/>
        <w:keepNext w:val="0"/>
        <w:keepLines w:val="0"/>
        <w:shd w:val="clear" w:color="auto" w:fill="auto"/>
        <w:bidi w:val="0"/>
        <w:jc w:val="center"/>
        <w:spacing w:before="0" w:after="299" w:line="260" w:lineRule="exact"/>
        <w:ind w:left="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jc w:val="left"/>
        <w:spacing w:before="0" w:after="0" w:line="326" w:lineRule="exact"/>
        <w:ind w:left="20" w:right="0" w:firstLine="720"/>
      </w:pPr>
      <w:r>
        <w:rPr>
          <w:lang w:val="ru-RU" w:eastAsia="ru-RU" w:bidi="ru-RU"/>
          <w:w w:val="100"/>
          <w:spacing w:val="0"/>
          <w:color w:val="000000"/>
          <w:position w:val="0"/>
        </w:rPr>
        <w:t xml:space="preserve"> Признать жалобу ООО «Юнитех-М» на действия ФГБУ «НМИЦ ТО им. Н.Н. Приорова» Минздрава России необоснованной.</w:t>
      </w:r>
    </w:p>
    <w:p>
      <w:pPr>
        <w:pStyle w:val="Style5"/>
        <w:numPr>
          <w:ilvl w:val="0"/>
          <w:numId w:val="3"/>
        </w:numPr>
        <w:widowControl w:val="0"/>
        <w:keepNext w:val="0"/>
        <w:keepLines w:val="0"/>
        <w:shd w:val="clear" w:color="auto" w:fill="auto"/>
        <w:bidi w:val="0"/>
        <w:jc w:val="left"/>
        <w:spacing w:before="0" w:after="296"/>
        <w:ind w:left="20" w:right="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04.02.2021 № ЕИ/6053/21.</w:t>
      </w:r>
    </w:p>
    <w:p>
      <w:pPr>
        <w:pStyle w:val="Style5"/>
        <w:widowControl w:val="0"/>
        <w:keepNext w:val="0"/>
        <w:keepLines w:val="0"/>
        <w:shd w:val="clear" w:color="auto" w:fill="auto"/>
        <w:bidi w:val="0"/>
        <w:jc w:val="left"/>
        <w:spacing w:before="0" w:after="0" w:line="326" w:lineRule="exact"/>
        <w:ind w:left="20" w:right="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гл. 24 АПК РФ.</w:t>
      </w:r>
    </w:p>
    <w:p>
      <w:pPr>
        <w:pStyle w:val="Style5"/>
        <w:framePr w:h="250" w:wrap="around" w:vAnchor="text" w:hAnchor="margin" w:x="8347" w:y="-4"/>
        <w:widowControl w:val="0"/>
        <w:keepNext w:val="0"/>
        <w:keepLines w:val="0"/>
        <w:shd w:val="clear" w:color="auto" w:fill="auto"/>
        <w:bidi w:val="0"/>
        <w:jc w:val="left"/>
        <w:spacing w:before="0" w:after="0" w:line="240" w:lineRule="exact"/>
        <w:ind w:left="100" w:right="0" w:firstLine="0"/>
      </w:pPr>
      <w:r>
        <w:rPr>
          <w:rStyle w:val="CharStyle6"/>
          <w:spacing w:val="0"/>
        </w:rPr>
        <w:t>Л.Н. Харченко</w:t>
      </w:r>
    </w:p>
    <w:p>
      <w:pPr>
        <w:pStyle w:val="Style5"/>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Председатель Комиссии</w:t>
      </w:r>
    </w:p>
    <w:p>
      <w:pPr>
        <w:pStyle w:val="Style5"/>
        <w:framePr w:h="240" w:wrap="around" w:vAnchor="text" w:hAnchor="margin" w:x="8659" w:y="1"/>
        <w:widowControl w:val="0"/>
        <w:keepNext w:val="0"/>
        <w:keepLines w:val="0"/>
        <w:shd w:val="clear" w:color="auto" w:fill="auto"/>
        <w:bidi w:val="0"/>
        <w:jc w:val="left"/>
        <w:spacing w:before="0" w:after="0" w:line="240" w:lineRule="exact"/>
        <w:ind w:left="100" w:right="0" w:firstLine="0"/>
      </w:pPr>
      <w:r>
        <w:rPr>
          <w:rStyle w:val="CharStyle6"/>
          <w:spacing w:val="0"/>
        </w:rPr>
        <w:t>К.А. Сомов</w:t>
      </w:r>
    </w:p>
    <w:p>
      <w:pPr>
        <w:pStyle w:val="Style5"/>
        <w:widowControl w:val="0"/>
        <w:keepNext w:val="0"/>
        <w:keepLines w:val="0"/>
        <w:shd w:val="clear" w:color="auto" w:fill="auto"/>
        <w:bidi w:val="0"/>
        <w:jc w:val="left"/>
        <w:spacing w:before="0" w:after="357" w:line="260" w:lineRule="exact"/>
        <w:ind w:left="20" w:right="0" w:firstLine="0"/>
      </w:pPr>
      <w:r>
        <w:rPr>
          <w:lang w:val="ru-RU" w:eastAsia="ru-RU" w:bidi="ru-RU"/>
          <w:w w:val="100"/>
          <w:spacing w:val="0"/>
          <w:color w:val="000000"/>
          <w:position w:val="0"/>
        </w:rPr>
        <w:t>Заместитель председателя Комиссии</w:t>
      </w:r>
    </w:p>
    <w:p>
      <w:pPr>
        <w:pStyle w:val="Style5"/>
        <w:framePr w:h="240" w:wrap="around" w:vAnchor="text" w:hAnchor="margin" w:x="30"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7380" w:line="260" w:lineRule="exact"/>
        <w:ind w:left="0" w:right="0" w:firstLine="0"/>
      </w:pPr>
      <w:r>
        <w:rPr>
          <w:lang w:val="ru-RU" w:eastAsia="ru-RU" w:bidi="ru-RU"/>
          <w:w w:val="100"/>
          <w:spacing w:val="0"/>
          <w:color w:val="000000"/>
          <w:position w:val="0"/>
        </w:rPr>
        <w:t>А.А. Матюшенко</w:t>
      </w:r>
    </w:p>
    <w:p>
      <w:pPr>
        <w:pStyle w:val="Style13"/>
        <w:widowControl w:val="0"/>
        <w:keepNext w:val="0"/>
        <w:keepLines w:val="0"/>
        <w:shd w:val="clear" w:color="auto" w:fill="auto"/>
        <w:bidi w:val="0"/>
        <w:jc w:val="left"/>
        <w:spacing w:before="0" w:after="0" w:line="190" w:lineRule="exact"/>
        <w:ind w:left="20" w:right="0" w:firstLine="0"/>
      </w:pPr>
      <w:r>
        <w:rPr>
          <w:lang w:val="ru-RU" w:eastAsia="ru-RU" w:bidi="ru-RU"/>
          <w:w w:val="100"/>
          <w:spacing w:val="0"/>
          <w:color w:val="000000"/>
          <w:position w:val="0"/>
        </w:rPr>
        <w:t xml:space="preserve">Исп. Матюшенко А.А., </w:t>
      </w:r>
      <w:r>
        <w:rPr>
          <w:w w:val="100"/>
          <w:spacing w:val="0"/>
          <w:color w:val="000000"/>
          <w:position w:val="0"/>
        </w:rPr>
        <w:t>to77-matiushenko@fas.gov.ru</w:t>
      </w:r>
    </w:p>
    <w:sectPr>
      <w:footnotePr>
        <w:pos w:val="pageBottom"/>
        <w:numFmt w:val="decimal"/>
        <w:numRestart w:val="continuous"/>
      </w:footnotePr>
      <w:type w:val="continuous"/>
      <w:pgSz w:w="11906" w:h="16838"/>
      <w:pgMar w:top="1019" w:left="851" w:right="841" w:bottom="9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8"/>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7"/>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lang w:val="en-US" w:eastAsia="en-US" w:bidi="en-US"/>
      <w:b/>
      <w:bCs/>
      <w:i w:val="0"/>
      <w:iCs w:val="0"/>
      <w:u w:val="none"/>
      <w:strike w:val="0"/>
      <w:smallCaps w:val="0"/>
      <w:sz w:val="19"/>
      <w:szCs w:val="19"/>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jc w:val="both"/>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20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440" w:line="0" w:lineRule="exact"/>
    </w:pPr>
    <w:rPr>
      <w:lang w:val="en-US" w:eastAsia="en-US" w:bidi="en-US"/>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