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8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4" w:line="400" w:lineRule="exact"/>
        <w:ind w:left="0" w:right="240" w:firstLine="0"/>
      </w:pPr>
      <w:r>
        <w:rPr>
          <w:rStyle w:val="CharStyle9"/>
          <w:i w:val="0"/>
          <w:iCs w:val="0"/>
        </w:rPr>
        <w:t xml:space="preserve">№ </w:t>
      </w:r>
      <w:r>
        <w:rPr>
          <w:rStyle w:val="CharStyle10"/>
          <w:i/>
          <w:iCs/>
        </w:rPr>
        <w:t xml:space="preserve">0J- </w:t>
      </w:r>
      <w:r>
        <w:rPr>
          <w:rStyle w:val="CharStyle10"/>
          <w:lang w:val="ru-RU" w:eastAsia="ru-RU" w:bidi="ru-RU"/>
          <w:i/>
          <w:iCs/>
        </w:rPr>
        <w:t xml:space="preserve">$/ </w:t>
      </w:r>
      <w:r>
        <w:rPr>
          <w:rStyle w:val="CharStyle11"/>
          <w:i/>
          <w:iCs/>
        </w:rPr>
        <w:t>$</w:t>
      </w:r>
      <w:r>
        <w:rPr>
          <w:rStyle w:val="CharStyle12"/>
          <w:i/>
          <w:iCs/>
        </w:rPr>
        <w:t>3</w:t>
      </w:r>
      <w:r>
        <w:rPr>
          <w:rStyle w:val="CharStyle11"/>
          <w:i/>
          <w:iCs/>
        </w:rPr>
        <w:t>^</w:t>
      </w:r>
    </w:p>
    <w:p>
      <w:pPr>
        <w:pStyle w:val="Style13"/>
        <w:tabs>
          <w:tab w:leader="none" w:pos="214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5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«ТехСтройПартнёр» ул. Власихинская, д. 49/1, оф. 141, г. Барнаул, Алтайский край, 656016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bolshunov </w:t>
      </w:r>
      <w:r>
        <w:fldChar w:fldCharType="begin"/>
      </w:r>
      <w:r>
        <w:rPr>
          <w:color w:val="000000"/>
        </w:rPr>
        <w:instrText> HYPERLINK "mailto:1990@bk.ru" </w:instrText>
      </w:r>
      <w:r>
        <w:fldChar w:fldCharType="separate"/>
      </w:r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1</w:t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транспорта и дорожного хозяйства Волгоградской области ул. Елецкая, д. 1,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3" w:line="302" w:lineRule="exact"/>
        <w:ind w:left="20" w:right="24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400120 </w:t>
      </w:r>
      <w:r>
        <w:fldChar w:fldCharType="begin"/>
      </w:r>
      <w:r>
        <w:rPr>
          <w:color w:val="000000"/>
        </w:rPr>
        <w:instrText> HYPERLINK "mailto:auto@volganet.ru"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auto@volganet.ru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 системы в сфере закупок Волгоградской области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32" w:line="292" w:lineRule="exact"/>
        <w:ind w:left="20" w:right="1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Новороссийская, д. 15 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«Электронные торговые системы» ул. Тестовская, д. 10,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7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22" w:left="1687" w:right="1122" w:bottom="1178" w:header="0" w:footer="3" w:gutter="0"/>
          <w:rtlGutter w:val="0"/>
          <w:cols w:num="2" w:space="720" w:equalWidth="0">
            <w:col w:w="3996" w:space="551"/>
            <w:col w:w="4550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84" w:line="295" w:lineRule="exact"/>
        <w:ind w:left="2500" w:right="1580" w:firstLine="22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034/06/105-94/2021 о нарушении законодательства о контрактной системе</w:t>
      </w:r>
    </w:p>
    <w:p>
      <w:pPr>
        <w:pStyle w:val="Style15"/>
        <w:tabs>
          <w:tab w:leader="none" w:pos="100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09 февраля 2021 года</w:t>
        <w:tab/>
        <w:t>Волгоград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главного специалиста-эксперта отдела контроля государственных и муниципальных закупок, недобросовестной конкуренции и рекламы, с участием: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Реклицкой А.В. - представителя комитета транспорта и дорожного хозяйства Волгоградской области по </w:t>
      </w:r>
      <w:r>
        <w:rPr>
          <w:rStyle w:val="CharStyle17"/>
        </w:rPr>
        <w:t xml:space="preserve">доверенности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11.01.2021 № 10-02;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Цыгановой И.Ю. (до перерыва) - представителя комитета транспорта и дорожного хозяйства Волгоградской области по доверенности от 08.02.2021 № 25-01-01/10-64;</w:t>
      </w:r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8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Зуевой Е.Н. - представителя комитета по регулированию контрактной системы в сфере закупок Волгоградской области по доверенности от 08.11.2019 № 12,</w:t>
      </w:r>
    </w:p>
    <w:p>
      <w:pPr>
        <w:pStyle w:val="Style15"/>
        <w:tabs>
          <w:tab w:leader="none" w:pos="52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</w:t>
        <w:tab/>
        <w:t>034/06/105-94/2021 по жалобе ООО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90" w:line="302" w:lineRule="exact"/>
        <w:ind w:left="40" w:right="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«ТехСтройПартнер» на положения документации аукциона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поступила жалоба ООО «ТехСтройПартнер» на положения документации в электронной форме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Заявителя заказчиком в проекте контракта не установлены штрафы для случая неисполнения исполнителем обязательств, не имеющих стоимостного выражения.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было опубликовано извещение о проведении аукциона в электронной форме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0129200005321000015). Начальная (максимальная) цена контракта 89 381 840,00 российских рублей.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4 ст. 34 Закона о контрактной системе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6 Постановления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года № 1063» (далее — Постановление № 1042)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1000 рублей, если цена контракта не превышает 3 млн. рублей;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8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5000 рублей, если цена контракта составляет от 3 млн. рублей до 50 млн. рублей (включительно);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10000 рублей, если цена контракта составляет от 50 млн. рублей до 100 млн. рублей (включительно).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13.4. Раздела 13 «Проект государственного контракта» аукционной документации, размер штрафа по каждому факту неисполнения или ненадлежащего исполнения Подрядчиком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1000 рублей, если цена контракта не превышает 3 млн. рублей (включительно);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5000 рублей, если цена контракта составляет от 3 млн. рублей до 50 млн. рублей (включительно);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10000 рублей, если цена контракта составляет от 50 млн. рублей до 100 млн. рублей (включительно).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с учетом того, что начальная (максимальная) цена контракта составляет 89 381 840,00 п. 13.4 проекта Контракта документации об аукционе соответствует Постановлению № 1042, в связи с чем, довод Заявителя является необоснованным.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жалоба ООО «ТехСтройПартнер» на положения документации аукциона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 является необоснованной.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87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5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«ТехСтройПартнер» на положения документации аукциона в электронной форме «Строительство автомобильной дороги "Подъезд от автомобильной дороги "Курганный - Клетская" к х.Казачий" в Клетском муниципальном районе Волгоградской области» (номер извещения 0129200005321000015) необоснованной.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30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98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340" w:right="8700" w:firstLine="0"/>
        <w:sectPr>
          <w:type w:val="continuous"/>
          <w:pgSz w:w="11906" w:h="16838"/>
          <w:pgMar w:top="1450" w:left="819" w:right="794" w:bottom="99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 (8442) 24 22 64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15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62" w:left="808" w:right="808" w:bottom="16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/>
      <w:iCs/>
      <w:u w:val="none"/>
      <w:strike w:val="0"/>
      <w:smallCaps w:val="0"/>
      <w:rFonts w:ascii="Trebuchet MS" w:eastAsia="Trebuchet MS" w:hAnsi="Trebuchet MS" w:cs="Trebuchet MS"/>
      <w:spacing w:val="-40"/>
    </w:rPr>
  </w:style>
  <w:style w:type="character" w:customStyle="1" w:styleId="CharStyle9">
    <w:name w:val="Основной текст (4) + Times New Roman,11 pt,Не курсив,Интервал 0 pt"/>
    <w:basedOn w:val="CharStyle8"/>
    <w:rPr>
      <w:lang w:val="ru-RU" w:eastAsia="ru-RU" w:bidi="ru-RU"/>
      <w:i/>
      <w:iCs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0">
    <w:name w:val="Основной текст (4)"/>
    <w:basedOn w:val="CharStyle8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11">
    <w:name w:val="Основной текст (4) + 20 pt,Интервал 0 pt"/>
    <w:basedOn w:val="CharStyle8"/>
    <w:rPr>
      <w:lang w:val="ru-RU" w:eastAsia="ru-RU" w:bidi="ru-RU"/>
      <w:u w:val="single"/>
      <w:sz w:val="40"/>
      <w:szCs w:val="40"/>
      <w:w w:val="100"/>
      <w:spacing w:val="0"/>
      <w:color w:val="000000"/>
      <w:position w:val="0"/>
    </w:rPr>
  </w:style>
  <w:style w:type="character" w:customStyle="1" w:styleId="CharStyle12">
    <w:name w:val="Основной текст (4) + 20 pt,Интервал 0 pt"/>
    <w:basedOn w:val="CharStyle8"/>
    <w:rPr>
      <w:lang w:val="ru-RU" w:eastAsia="ru-RU" w:bidi="ru-RU"/>
      <w:u w:val="single"/>
      <w:sz w:val="40"/>
      <w:szCs w:val="40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+ 11,5 pt"/>
    <w:basedOn w:val="CharStyle16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9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8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right"/>
      <w:spacing w:before="180" w:after="180" w:line="0" w:lineRule="exact"/>
    </w:pPr>
    <w:rPr>
      <w:b w:val="0"/>
      <w:bCs w:val="0"/>
      <w:i/>
      <w:iCs/>
      <w:u w:val="none"/>
      <w:strike w:val="0"/>
      <w:smallCaps w:val="0"/>
      <w:rFonts w:ascii="Trebuchet MS" w:eastAsia="Trebuchet MS" w:hAnsi="Trebuchet MS" w:cs="Trebuchet MS"/>
      <w:spacing w:val="-40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after="240"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