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69" w:h="479" w:wrap="around" w:vAnchor="text" w:hAnchor="margin" w:x="-3983" w:y="94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10"/>
        <w:widowControl w:val="0"/>
        <w:keepNext w:val="0"/>
        <w:keepLines w:val="0"/>
        <w:shd w:val="clear" w:color="auto" w:fill="auto"/>
        <w:bidi w:val="0"/>
        <w:spacing w:before="0" w:after="180"/>
        <w:ind w:left="0" w:right="20" w:firstLine="0"/>
      </w:pPr>
      <w:r>
        <w:rPr>
          <w:rStyle w:val="CharStyle14"/>
        </w:rPr>
        <w:t>Заявителю</w:t>
      </w:r>
      <w:r>
        <w:rPr>
          <w:lang w:val="ru-RU" w:eastAsia="ru-RU" w:bidi="ru-RU"/>
          <w:w w:val="100"/>
          <w:spacing w:val="0"/>
          <w:color w:val="000000"/>
          <w:position w:val="0"/>
        </w:rPr>
        <w:t xml:space="preserve">: ООО «Контракт» 354003, г. Сочи, пер. Вишневый, 85Б, пом. 12 </w:t>
      </w:r>
      <w:r>
        <w:rPr>
          <w:lang w:val="en-US" w:eastAsia="en-US" w:bidi="en-US"/>
          <w:w w:val="100"/>
          <w:spacing w:val="0"/>
          <w:color w:val="000000"/>
          <w:position w:val="0"/>
        </w:rPr>
        <w:t xml:space="preserve">e-mail: </w:t>
      </w:r>
      <w:r>
        <w:fldChar w:fldCharType="begin"/>
      </w:r>
      <w:r>
        <w:rPr>
          <w:rStyle w:val="CharStyle14"/>
        </w:rPr>
        <w:instrText> HYPERLINK "mailto:skvconsultor@gmail.com" </w:instrText>
      </w:r>
      <w:r>
        <w:fldChar w:fldCharType="separate"/>
      </w:r>
      <w:r>
        <w:rPr>
          <w:rStyle w:val="Hyperlink"/>
          <w:lang w:val="en-US" w:eastAsia="en-US" w:bidi="en-US"/>
        </w:rPr>
        <w:t>skvconsultor@gmail.com</w:t>
      </w:r>
      <w:r>
        <w:fldChar w:fldCharType="end"/>
      </w:r>
    </w:p>
    <w:p>
      <w:pPr>
        <w:pStyle w:val="Style5"/>
        <w:framePr w:w="4840" w:h="1753" w:wrap="around" w:vAnchor="text" w:hAnchor="margin" w:x="-4564" w:y="173"/>
        <w:widowControl w:val="0"/>
        <w:keepNext w:val="0"/>
        <w:keepLines w:val="0"/>
        <w:shd w:val="clear" w:color="auto" w:fill="auto"/>
        <w:bidi w:val="0"/>
        <w:spacing w:before="0" w:after="141"/>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7"/>
        <w:framePr w:w="4840" w:h="1753" w:wrap="around" w:vAnchor="text" w:hAnchor="margin" w:x="-4564" w:y="173"/>
        <w:widowControl w:val="0"/>
        <w:keepNext w:val="0"/>
        <w:keepLines w:val="0"/>
        <w:shd w:val="clear" w:color="auto" w:fill="auto"/>
        <w:bidi w:val="0"/>
        <w:spacing w:before="0" w:after="0"/>
        <w:ind w:left="100" w:right="0" w:firstLine="0"/>
      </w:pPr>
      <w:r>
        <w:rPr>
          <w:rStyle w:val="CharStyle8"/>
          <w:spacing w:val="0"/>
        </w:rPr>
        <w:t xml:space="preserve">ул. Салтыкова-Щедрина, 21, г. Орёл, ГСП, 302000 тел. (4862) 47-53-57, факс (4862) 76-44-60 </w:t>
      </w:r>
      <w:r>
        <w:rPr>
          <w:rStyle w:val="CharStyle9"/>
          <w:spacing w:val="0"/>
        </w:rPr>
        <w:t xml:space="preserve">e-mail: </w:t>
      </w:r>
      <w:r>
        <w:fldChar w:fldCharType="begin"/>
      </w:r>
      <w:r>
        <w:rPr>
          <w:rStyle w:val="CharStyle9"/>
        </w:rPr>
        <w:instrText> HYPERLINK "mailto:to57@fas.gov.ru" </w:instrText>
      </w:r>
      <w:r>
        <w:fldChar w:fldCharType="separate"/>
      </w:r>
      <w:r>
        <w:rPr>
          <w:rStyle w:val="Hyperlink"/>
          <w:spacing w:val="0"/>
        </w:rPr>
        <w:t>to57@fas.gov.ru</w:t>
      </w:r>
      <w:r>
        <w:fldChar w:fldCharType="end"/>
      </w:r>
    </w:p>
    <w:p>
      <w:pPr>
        <w:pStyle w:val="Style10"/>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w:t>
      </w:r>
      <w:r>
        <w:rPr>
          <w:rStyle w:val="CharStyle14"/>
        </w:rPr>
        <w:t>аказчику</w:t>
      </w:r>
      <w:r>
        <w:rPr>
          <w:lang w:val="ru-RU" w:eastAsia="ru-RU" w:bidi="ru-RU"/>
          <w:w w:val="100"/>
          <w:spacing w:val="0"/>
          <w:color w:val="000000"/>
          <w:position w:val="0"/>
        </w:rPr>
        <w:t>:</w:t>
      </w:r>
    </w:p>
    <w:p>
      <w:pPr>
        <w:pStyle w:val="Style10"/>
        <w:widowControl w:val="0"/>
        <w:keepNext w:val="0"/>
        <w:keepLines w:val="0"/>
        <w:shd w:val="clear" w:color="auto" w:fill="auto"/>
        <w:bidi w:val="0"/>
        <w:spacing w:before="0" w:after="192"/>
        <w:ind w:left="0" w:right="20" w:firstLine="0"/>
      </w:pPr>
      <w:r>
        <w:rPr>
          <w:lang w:val="ru-RU" w:eastAsia="ru-RU" w:bidi="ru-RU"/>
          <w:w w:val="100"/>
          <w:spacing w:val="0"/>
          <w:color w:val="000000"/>
          <w:position w:val="0"/>
        </w:rPr>
        <w:t xml:space="preserve">МБУ ДО «Ливенская городская детская школа искусств» 303854, Орловская область, г. Ливны, ул. Карла Маркса, д. 120 </w:t>
      </w:r>
      <w:r>
        <w:rPr>
          <w:lang w:val="en-US" w:eastAsia="en-US" w:bidi="en-US"/>
          <w:w w:val="100"/>
          <w:spacing w:val="0"/>
          <w:color w:val="000000"/>
          <w:position w:val="0"/>
        </w:rPr>
        <w:t xml:space="preserve">e-mail: </w:t>
      </w:r>
      <w:r>
        <w:fldChar w:fldCharType="begin"/>
      </w:r>
      <w:r>
        <w:rPr>
          <w:rStyle w:val="CharStyle14"/>
        </w:rPr>
        <w:instrText> HYPERLINK "mailto:dshi.liv@vandex.ru" </w:instrText>
      </w:r>
      <w:r>
        <w:fldChar w:fldCharType="separate"/>
      </w:r>
      <w:r>
        <w:rPr>
          <w:rStyle w:val="Hyperlink"/>
          <w:lang w:val="en-US" w:eastAsia="en-US" w:bidi="en-US"/>
        </w:rPr>
        <w:t>dshi.liv@vandex.ru</w:t>
      </w:r>
      <w:r>
        <w:fldChar w:fldCharType="end"/>
      </w:r>
    </w:p>
    <w:p>
      <w:pPr>
        <w:pStyle w:val="Style10"/>
        <w:framePr w:h="226" w:wrap="around" w:vAnchor="text" w:hAnchor="margin" w:x="-3685" w:y="193"/>
        <w:tabs>
          <w:tab w:leader="none" w:pos="2606" w:val="right"/>
        </w:tabs>
        <w:widowControl w:val="0"/>
        <w:keepNext w:val="0"/>
        <w:keepLines w:val="0"/>
        <w:shd w:val="clear" w:color="auto" w:fill="auto"/>
        <w:bidi w:val="0"/>
        <w:jc w:val="both"/>
        <w:spacing w:before="0" w:after="0" w:line="220" w:lineRule="exact"/>
        <w:ind w:left="0" w:right="0" w:firstLine="0"/>
      </w:pPr>
      <w:r>
        <w:rPr>
          <w:rStyle w:val="CharStyle11"/>
          <w:spacing w:val="0"/>
        </w:rPr>
        <w:t>12.02.2021 №</w:t>
        <w:tab/>
      </w:r>
      <w:r>
        <w:rPr>
          <w:rStyle w:val="CharStyle12"/>
          <w:spacing w:val="0"/>
        </w:rPr>
        <w:t>558/03</w:t>
      </w:r>
    </w:p>
    <w:p>
      <w:pPr>
        <w:pStyle w:val="Style10"/>
        <w:widowControl w:val="0"/>
        <w:keepNext w:val="0"/>
        <w:keepLines w:val="0"/>
        <w:shd w:val="clear" w:color="auto" w:fill="auto"/>
        <w:bidi w:val="0"/>
        <w:spacing w:before="0" w:after="0" w:line="269" w:lineRule="exact"/>
        <w:ind w:left="0" w:right="20" w:firstLine="0"/>
      </w:pPr>
      <w:r>
        <w:rPr>
          <w:rStyle w:val="CharStyle14"/>
        </w:rPr>
        <w:t>Уполномоченному органу:</w:t>
      </w:r>
      <w:r>
        <w:rPr>
          <w:lang w:val="ru-RU" w:eastAsia="ru-RU" w:bidi="ru-RU"/>
          <w:w w:val="100"/>
          <w:spacing w:val="0"/>
          <w:color w:val="000000"/>
          <w:position w:val="0"/>
        </w:rPr>
        <w:t xml:space="preserve"> МКУ г. Ливны «Централизованная</w:t>
      </w:r>
    </w:p>
    <w:p>
      <w:pPr>
        <w:pStyle w:val="Style3"/>
        <w:framePr w:h="200" w:wrap="around" w:vAnchor="text" w:hAnchor="margin" w:x="-4151" w:y="182"/>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3"/>
        <w:framePr w:h="200" w:wrap="around" w:vAnchor="text" w:hAnchor="margin" w:x="-2303" w:y="177"/>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от</w:t>
      </w:r>
    </w:p>
    <w:p>
      <w:pPr>
        <w:pStyle w:val="Style10"/>
        <w:widowControl w:val="0"/>
        <w:keepNext w:val="0"/>
        <w:keepLines w:val="0"/>
        <w:shd w:val="clear" w:color="auto" w:fill="auto"/>
        <w:bidi w:val="0"/>
        <w:spacing w:before="0" w:after="0" w:line="269" w:lineRule="exact"/>
        <w:ind w:left="0" w:right="20" w:firstLine="0"/>
        <w:sectPr>
          <w:footnotePr>
            <w:pos w:val="pageBottom"/>
            <w:numFmt w:val="decimal"/>
            <w:numRestart w:val="continuous"/>
          </w:footnotePr>
          <w:type w:val="continuous"/>
          <w:pgSz w:w="16838" w:h="23810"/>
          <w:pgMar w:top="4062" w:left="8604" w:right="3559" w:bottom="4489" w:header="0" w:footer="3" w:gutter="0"/>
          <w:rtlGutter w:val="0"/>
          <w:cols w:space="720"/>
          <w:noEndnote/>
          <w:docGrid w:linePitch="360"/>
        </w:sectPr>
      </w:pPr>
      <w:r>
        <w:rPr>
          <w:lang w:val="ru-RU" w:eastAsia="ru-RU" w:bidi="ru-RU"/>
          <w:w w:val="100"/>
          <w:spacing w:val="0"/>
          <w:color w:val="000000"/>
          <w:position w:val="0"/>
        </w:rPr>
        <w:t xml:space="preserve">бухгалтерия» 303850, Орловская область, г. Ливны, ул. Ленина, д. 24 </w:t>
      </w:r>
      <w:r>
        <w:rPr>
          <w:lang w:val="en-US" w:eastAsia="en-US" w:bidi="en-US"/>
          <w:w w:val="100"/>
          <w:spacing w:val="0"/>
          <w:color w:val="000000"/>
          <w:position w:val="0"/>
        </w:rPr>
        <w:t xml:space="preserve">e-mail: </w:t>
      </w:r>
      <w:r>
        <w:fldChar w:fldCharType="begin"/>
      </w:r>
      <w:r>
        <w:rPr>
          <w:rStyle w:val="CharStyle14"/>
        </w:rPr>
        <w:instrText> HYPERLINK "mailto:centrbuh2017@vandex.ru" </w:instrText>
      </w:r>
      <w:r>
        <w:fldChar w:fldCharType="separate"/>
      </w:r>
      <w:r>
        <w:rPr>
          <w:rStyle w:val="Hyperlink"/>
          <w:lang w:val="en-US" w:eastAsia="en-US" w:bidi="en-US"/>
        </w:rPr>
        <w:t>centrbuh2017@vandex.ru</w:t>
      </w:r>
      <w:r>
        <w:fldChar w:fldCharType="end"/>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3.8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75" w:line="274" w:lineRule="exact"/>
        <w:ind w:left="5380" w:right="20" w:firstLine="0"/>
      </w:pPr>
      <w:r>
        <w:rPr>
          <w:rStyle w:val="CharStyle14"/>
        </w:rPr>
        <w:t>Оператору ЭТП</w:t>
      </w:r>
      <w:r>
        <w:rPr>
          <w:lang w:val="ru-RU" w:eastAsia="ru-RU" w:bidi="ru-RU"/>
          <w:w w:val="100"/>
          <w:spacing w:val="0"/>
          <w:color w:val="000000"/>
          <w:position w:val="0"/>
        </w:rPr>
        <w:t xml:space="preserve">: АО «Сбербанк-АСТ» </w:t>
      </w:r>
      <w:r>
        <w:rPr>
          <w:lang w:val="en-US" w:eastAsia="en-US" w:bidi="en-US"/>
          <w:w w:val="100"/>
          <w:spacing w:val="0"/>
          <w:color w:val="000000"/>
          <w:position w:val="0"/>
        </w:rPr>
        <w:t xml:space="preserve">e-mail: </w:t>
      </w:r>
      <w:r>
        <w:fldChar w:fldCharType="begin"/>
      </w:r>
      <w:r>
        <w:rPr>
          <w:rStyle w:val="CharStyle14"/>
        </w:rPr>
        <w:instrText> HYPERLINK "mailto:ko@sberbank-ast.ru" </w:instrText>
      </w:r>
      <w:r>
        <w:fldChar w:fldCharType="separate"/>
      </w:r>
      <w:r>
        <w:rPr>
          <w:rStyle w:val="Hyperlink"/>
          <w:lang w:val="en-US" w:eastAsia="en-US" w:bidi="en-US"/>
        </w:rPr>
        <w:t>ko@sberbank-ast.ru</w:t>
      </w:r>
      <w:r>
        <w:fldChar w:fldCharType="end"/>
      </w:r>
    </w:p>
    <w:p>
      <w:pPr>
        <w:pStyle w:val="Style15"/>
        <w:widowControl w:val="0"/>
        <w:keepNext w:val="0"/>
        <w:keepLines w:val="0"/>
        <w:shd w:val="clear" w:color="auto" w:fill="auto"/>
        <w:bidi w:val="0"/>
        <w:spacing w:before="0" w:after="562" w:line="230" w:lineRule="exact"/>
        <w:ind w:left="0" w:right="20" w:firstLine="0"/>
      </w:pPr>
      <w:r>
        <w:rPr>
          <w:lang w:val="ru-RU" w:eastAsia="ru-RU" w:bidi="ru-RU"/>
          <w:w w:val="100"/>
          <w:spacing w:val="0"/>
          <w:color w:val="000000"/>
          <w:position w:val="0"/>
        </w:rPr>
        <w:t>(Извещение № 0854600000321000001)</w:t>
      </w:r>
    </w:p>
    <w:p>
      <w:pPr>
        <w:pStyle w:val="Style10"/>
        <w:widowControl w:val="0"/>
        <w:keepNext w:val="0"/>
        <w:keepLines w:val="0"/>
        <w:shd w:val="clear" w:color="auto" w:fill="auto"/>
        <w:bidi w:val="0"/>
        <w:jc w:val="center"/>
        <w:spacing w:before="0" w:after="286" w:line="288" w:lineRule="exact"/>
        <w:ind w:left="0" w:right="0" w:firstLine="0"/>
      </w:pPr>
      <w:r>
        <w:rPr>
          <w:rStyle w:val="CharStyle17"/>
        </w:rPr>
        <w:t>РЕШЕНИЕ</w:t>
      </w:r>
      <w:r>
        <w:rPr>
          <w:lang w:val="ru-RU" w:eastAsia="ru-RU" w:bidi="ru-RU"/>
          <w:w w:val="100"/>
          <w:spacing w:val="0"/>
          <w:color w:val="000000"/>
          <w:position w:val="0"/>
        </w:rPr>
        <w:t xml:space="preserve"> № 057/06/31-65/2021 о нарушении законодательства о закупках</w:t>
      </w:r>
    </w:p>
    <w:p>
      <w:pPr>
        <w:pStyle w:val="Style10"/>
        <w:tabs>
          <w:tab w:leader="none" w:pos="8564" w:val="left"/>
        </w:tabs>
        <w:widowControl w:val="0"/>
        <w:keepNext w:val="0"/>
        <w:keepLines w:val="0"/>
        <w:shd w:val="clear" w:color="auto" w:fill="auto"/>
        <w:bidi w:val="0"/>
        <w:jc w:val="both"/>
        <w:spacing w:before="0" w:after="266" w:line="230" w:lineRule="exact"/>
        <w:ind w:left="20" w:right="0" w:firstLine="0"/>
      </w:pPr>
      <w:r>
        <w:rPr>
          <w:lang w:val="ru-RU" w:eastAsia="ru-RU" w:bidi="ru-RU"/>
          <w:w w:val="100"/>
          <w:spacing w:val="0"/>
          <w:color w:val="000000"/>
          <w:position w:val="0"/>
        </w:rPr>
        <w:t>09 февраля 2021 года</w:t>
        <w:tab/>
        <w:t>г. Орёл</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 в присутствии представителя заказчика: МБУ ДО «Ливенская городская детская школа искусств» (далее - Заказчик) - Бронникова Г.И., Сучковой Н.Н.,</w:t>
      </w:r>
    </w:p>
    <w:p>
      <w:pPr>
        <w:pStyle w:val="Style10"/>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отсутствие представителя заявителя: ООО «Контракт» (далее - Заявитель), извещенного надлежащим образом,</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рассмотрев посредством интернет-видеоконференции с использованием сервиса видеоконференций </w:t>
      </w:r>
      <w:r>
        <w:rPr>
          <w:rStyle w:val="CharStyle18"/>
        </w:rPr>
        <w:t xml:space="preserve">TrueConf </w:t>
      </w:r>
      <w:r>
        <w:rPr>
          <w:lang w:val="ru-RU" w:eastAsia="ru-RU" w:bidi="ru-RU"/>
          <w:w w:val="100"/>
          <w:spacing w:val="0"/>
          <w:color w:val="000000"/>
          <w:position w:val="0"/>
        </w:rPr>
        <w:t>жалобу ООО «Контракт» на действия Заказчика при разработке документации об аукционе на капитальный ремонт здания «Ливенская городская ДШИ», расположенного по адресу: Орловская область, г. Ливны, ул. К. Маркса д. 120», извещение № 0854600000321000001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w:t>
        <w:br w:type="page"/>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0"/>
        <w:widowControl w:val="0"/>
        <w:keepNext w:val="0"/>
        <w:keepLines w:val="0"/>
        <w:shd w:val="clear" w:color="auto" w:fill="auto"/>
        <w:bidi w:val="0"/>
        <w:jc w:val="left"/>
        <w:spacing w:before="0" w:after="0" w:line="293" w:lineRule="exact"/>
        <w:ind w:left="3820" w:right="0" w:firstLine="0"/>
      </w:pPr>
      <w:r>
        <w:rPr>
          <w:rStyle w:val="CharStyle17"/>
        </w:rPr>
        <w:t>УСТАНОВИЛА:</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жалобе Заявитель указал, что Заказчик разработал документацию об Аукционе, не соответствующую требованиям Закона, а именно:</w:t>
      </w:r>
    </w:p>
    <w:p>
      <w:pPr>
        <w:pStyle w:val="Style10"/>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Заказчиком неправомерно установлено требование декларирования пункта</w:t>
      </w:r>
    </w:p>
    <w:p>
      <w:pPr>
        <w:pStyle w:val="Style10"/>
        <w:numPr>
          <w:ilvl w:val="0"/>
          <w:numId w:val="3"/>
        </w:numPr>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 части 1 статьи 31 Закона (участник не является офшорной компанией), что по мнению Заявителя оставляет возможность для необоснованного отклонения участников закупки;</w:t>
      </w:r>
    </w:p>
    <w:p>
      <w:pPr>
        <w:pStyle w:val="Style10"/>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Заказчиком неправомерно установлено требование декларирования пункта</w:t>
      </w:r>
    </w:p>
    <w:p>
      <w:pPr>
        <w:pStyle w:val="Style10"/>
        <w:numPr>
          <w:ilvl w:val="0"/>
          <w:numId w:val="3"/>
        </w:numPr>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 части 1 статьи 31 Закона (отсутствие у участника закупки ограничений для участия в закупках, установленных законодательством Российской Федерации), что по мнению Заявителя оставляет возможность не допуска участников закупки, не представивших такую декларацию;</w:t>
      </w:r>
    </w:p>
    <w:p>
      <w:pPr>
        <w:pStyle w:val="Style10"/>
        <w:numPr>
          <w:ilvl w:val="0"/>
          <w:numId w:val="1"/>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Заказчик в нарушение статьи 66 Закона требует предоставления во второй части заявки документов, подтверждающих соответствие дополнительным требованиям согласно части 2 статьи 31 Закона;</w:t>
      </w:r>
    </w:p>
    <w:p>
      <w:pPr>
        <w:pStyle w:val="Style10"/>
        <w:numPr>
          <w:ilvl w:val="0"/>
          <w:numId w:val="1"/>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Заказчиком установлено незаконное требование к сроку действия банковской гарантии;</w:t>
      </w:r>
    </w:p>
    <w:p>
      <w:pPr>
        <w:pStyle w:val="Style10"/>
        <w:numPr>
          <w:ilvl w:val="0"/>
          <w:numId w:val="1"/>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Заказчик неверно установил в проекте контракта обязательные требования согласно части 30 статьи 34 Закона.</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полагают, что действия Заказчика не нарушают требований Закона.</w:t>
      </w:r>
    </w:p>
    <w:p>
      <w:pPr>
        <w:pStyle w:val="Style10"/>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10"/>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0"/>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извещение об осуществлении закупки (с учетом изменений)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- 27.01.2021;</w:t>
      </w:r>
    </w:p>
    <w:p>
      <w:pPr>
        <w:pStyle w:val="Style10"/>
        <w:numPr>
          <w:ilvl w:val="0"/>
          <w:numId w:val="7"/>
        </w:numPr>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7"/>
        </w:numPr>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 начальная (максимальная) цена контракта - 5 247 160,00 руб.;</w:t>
      </w:r>
    </w:p>
    <w:p>
      <w:pPr>
        <w:pStyle w:val="Style10"/>
        <w:numPr>
          <w:ilvl w:val="0"/>
          <w:numId w:val="7"/>
        </w:numPr>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 дата окончания срока подачи заявок - 04.02.2021;</w:t>
      </w:r>
    </w:p>
    <w:p>
      <w:pPr>
        <w:pStyle w:val="Style10"/>
        <w:numPr>
          <w:ilvl w:val="0"/>
          <w:numId w:val="1"/>
        </w:numPr>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 дата проведения Аукциона - 04.02.2021.</w:t>
      </w:r>
    </w:p>
    <w:p>
      <w:pPr>
        <w:pStyle w:val="Style10"/>
        <w:numPr>
          <w:ilvl w:val="0"/>
          <w:numId w:val="5"/>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Вышеуказанная закупка осуществляется в рамках реализации регионального проекта «Культурная среда» федерального проекта «Культурная среда» национального проекта «Культура».</w:t>
      </w:r>
    </w:p>
    <w:p>
      <w:pPr>
        <w:pStyle w:val="Style10"/>
        <w:numPr>
          <w:ilvl w:val="0"/>
          <w:numId w:val="5"/>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В соответствии с пунктом 10 части 1 статьи 31 Закона при осуществлении закупки заказчик устанавливает единые требования к участникам закупки, в том числе о том, что участник закупки не является офшорной компанией.</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Частью 5 статьи 66 Закона установлен исчерпывающий перечень документов, подлежащих предоставлению участниками в составе второй части заявки на участие в Аукционе.</w:t>
      </w:r>
    </w:p>
    <w:p>
      <w:pPr>
        <w:pStyle w:val="Style10"/>
        <w:widowControl w:val="0"/>
        <w:keepNext w:val="0"/>
        <w:keepLines w:val="0"/>
        <w:shd w:val="clear" w:color="auto" w:fill="auto"/>
        <w:bidi w:val="0"/>
        <w:jc w:val="both"/>
        <w:spacing w:before="0" w:after="0" w:line="293" w:lineRule="exact"/>
        <w:ind w:left="180" w:right="20" w:firstLine="700"/>
      </w:pPr>
      <w:r>
        <w:rPr>
          <w:lang w:val="ru-RU" w:eastAsia="ru-RU" w:bidi="ru-RU"/>
          <w:w w:val="100"/>
          <w:spacing w:val="0"/>
          <w:color w:val="000000"/>
          <w:position w:val="0"/>
        </w:rPr>
        <w:t xml:space="preserve">В соответствии с пунктом 2 части 5 статьи 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r>
        <w:rPr>
          <w:rStyle w:val="CharStyle14"/>
        </w:rPr>
        <w:t>пунктом 1</w:t>
      </w:r>
      <w:r>
        <w:rPr>
          <w:lang w:val="ru-RU" w:eastAsia="ru-RU" w:bidi="ru-RU"/>
          <w:w w:val="100"/>
          <w:spacing w:val="0"/>
          <w:color w:val="000000"/>
          <w:position w:val="0"/>
        </w:rPr>
        <w:t xml:space="preserve"> </w:t>
      </w:r>
      <w:r>
        <w:rPr>
          <w:rStyle w:val="CharStyle14"/>
        </w:rPr>
        <w:t>части 1 статьи 31</w:t>
      </w:r>
      <w:r>
        <w:rPr>
          <w:lang w:val="ru-RU" w:eastAsia="ru-RU" w:bidi="ru-RU"/>
          <w:w w:val="100"/>
          <w:spacing w:val="0"/>
          <w:color w:val="000000"/>
          <w:position w:val="0"/>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r>
        <w:rPr>
          <w:rStyle w:val="CharStyle14"/>
        </w:rPr>
        <w:t>пунктами 3</w:t>
      </w:r>
      <w:r>
        <w:rPr>
          <w:lang w:val="ru-RU" w:eastAsia="ru-RU" w:bidi="ru-RU"/>
          <w:w w:val="100"/>
          <w:spacing w:val="0"/>
          <w:color w:val="000000"/>
          <w:position w:val="0"/>
        </w:rPr>
        <w:t xml:space="preserve"> - </w:t>
      </w:r>
      <w:r>
        <w:rPr>
          <w:rStyle w:val="CharStyle14"/>
        </w:rPr>
        <w:t>9 части 1 статьи 31</w:t>
      </w:r>
      <w:r>
        <w:rPr>
          <w:lang w:val="ru-RU" w:eastAsia="ru-RU" w:bidi="ru-RU"/>
          <w:w w:val="100"/>
          <w:spacing w:val="0"/>
          <w:color w:val="000000"/>
          <w:position w:val="0"/>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0"/>
        <w:widowControl w:val="0"/>
        <w:keepNext w:val="0"/>
        <w:keepLines w:val="0"/>
        <w:shd w:val="clear" w:color="auto" w:fill="auto"/>
        <w:bidi w:val="0"/>
        <w:jc w:val="both"/>
        <w:spacing w:before="0" w:after="0" w:line="278" w:lineRule="exact"/>
        <w:ind w:left="180" w:right="20" w:firstLine="700"/>
      </w:pPr>
      <w:r>
        <w:rPr>
          <w:lang w:val="ru-RU" w:eastAsia="ru-RU" w:bidi="ru-RU"/>
          <w:w w:val="100"/>
          <w:spacing w:val="0"/>
          <w:color w:val="000000"/>
          <w:position w:val="0"/>
        </w:rPr>
        <w:t xml:space="preserve">Согласно части 6 статьи 66 Закона требовать от участника электронного аукциона предоставления иных документов и информации, за исключением предусмотренных </w:t>
      </w:r>
      <w:r>
        <w:rPr>
          <w:rStyle w:val="CharStyle14"/>
        </w:rPr>
        <w:t>частями 3</w:t>
      </w:r>
      <w:r>
        <w:rPr>
          <w:lang w:val="ru-RU" w:eastAsia="ru-RU" w:bidi="ru-RU"/>
          <w:w w:val="100"/>
          <w:spacing w:val="0"/>
          <w:color w:val="000000"/>
          <w:position w:val="0"/>
        </w:rPr>
        <w:t xml:space="preserve"> или ЗЛ и 5 настоящей статьи документов и информации, не допускается.</w:t>
      </w:r>
    </w:p>
    <w:p>
      <w:pPr>
        <w:pStyle w:val="Style10"/>
        <w:tabs>
          <w:tab w:leader="underscore" w:pos="4294" w:val="left"/>
          <w:tab w:leader="underscore" w:pos="9530" w:val="left"/>
        </w:tabs>
        <w:widowControl w:val="0"/>
        <w:keepNext w:val="0"/>
        <w:keepLines w:val="0"/>
        <w:shd w:val="clear" w:color="auto" w:fill="auto"/>
        <w:bidi w:val="0"/>
        <w:jc w:val="both"/>
        <w:spacing w:before="0" w:after="0" w:line="288" w:lineRule="exact"/>
        <w:ind w:left="180" w:right="20" w:firstLine="700"/>
      </w:pPr>
      <w:r>
        <w:rPr>
          <w:lang w:val="ru-RU" w:eastAsia="ru-RU" w:bidi="ru-RU"/>
          <w:w w:val="100"/>
          <w:spacing w:val="0"/>
          <w:color w:val="000000"/>
          <w:position w:val="0"/>
        </w:rPr>
        <w:t xml:space="preserve">В пункте 18 Раздела II. Информационная карта аукциона документации об </w:t>
      </w:r>
      <w:r>
        <w:rPr>
          <w:rStyle w:val="CharStyle14"/>
        </w:rPr>
        <w:t>Аукционе установлено:</w:t>
      </w:r>
      <w:r>
        <w:rPr>
          <w:lang w:val="ru-RU" w:eastAsia="ru-RU" w:bidi="ru-RU"/>
          <w:w w:val="100"/>
          <w:spacing w:val="0"/>
          <w:color w:val="000000"/>
          <w:position w:val="0"/>
        </w:rPr>
        <w:tab/>
        <w:tab/>
      </w:r>
    </w:p>
    <w:tbl>
      <w:tblPr>
        <w:tblOverlap w:val="never"/>
        <w:tblLayout w:type="fixed"/>
        <w:jc w:val="center"/>
      </w:tblPr>
      <w:tblGrid>
        <w:gridCol w:w="590"/>
        <w:gridCol w:w="1416"/>
        <w:gridCol w:w="2275"/>
        <w:gridCol w:w="5251"/>
      </w:tblGrid>
      <w:tr>
        <w:trPr>
          <w:trHeight w:val="1877" w:hRule="exact"/>
        </w:trPr>
        <w:tc>
          <w:tcPr>
            <w:shd w:val="clear" w:color="auto" w:fill="FFFFFF"/>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19"/>
              </w:rPr>
              <w:t>18.</w:t>
            </w:r>
          </w:p>
        </w:tc>
        <w:tc>
          <w:tcPr>
            <w:shd w:val="clear" w:color="auto" w:fill="FFFFFF"/>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9"/>
              </w:rPr>
              <w:t>Часть 11</w:t>
            </w:r>
          </w:p>
        </w:tc>
        <w:tc>
          <w:tcPr>
            <w:shd w:val="clear" w:color="auto" w:fill="FFFFFF"/>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19"/>
              </w:rPr>
              <w:t>Требования к содержанию, составу заявки на участие в аукционе и инструкция по ее заполнению</w:t>
            </w:r>
          </w:p>
        </w:tc>
        <w:tc>
          <w:tcPr>
            <w:shd w:val="clear" w:color="auto" w:fill="FFFFFF"/>
            <w:tcBorders>
              <w:left w:val="single" w:sz="4"/>
              <w:right w:val="single" w:sz="4"/>
              <w:top w:val="single" w:sz="4"/>
            </w:tcBorders>
            <w:vAlign w:val="bottom"/>
          </w:tcPr>
          <w:p>
            <w:pPr>
              <w:pStyle w:val="Style10"/>
              <w:framePr w:w="9533"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Заявка на участие в аукционе состоит из двух частей:</w:t>
            </w:r>
          </w:p>
          <w:p>
            <w:pPr>
              <w:pStyle w:val="Style10"/>
              <w:framePr w:w="9533"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2. Вторая часть заявки на участие в аукционе должна содержать следующие документы и информацию:</w:t>
            </w:r>
          </w:p>
          <w:p>
            <w:pPr>
              <w:pStyle w:val="Style10"/>
              <w:framePr w:w="9533"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3) декларацию о соответствии участника аукциона требованиям, установленным подпунктами 2-8 части 17 настоящей Информационной карты аукциона (указанная декларация предоставляется с использованием программно-аппаратных средств электронной площадки)</w:t>
            </w:r>
          </w:p>
        </w:tc>
      </w:tr>
      <w:tr>
        <w:trPr>
          <w:trHeight w:val="586" w:hRule="exact"/>
        </w:trPr>
        <w:tc>
          <w:tcPr>
            <w:shd w:val="clear" w:color="auto" w:fill="FFFFFF"/>
            <w:gridSpan w:val="4"/>
            <w:tcBorders>
              <w:top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288" w:lineRule="exact"/>
              <w:ind w:left="160" w:right="0" w:firstLine="720"/>
            </w:pPr>
            <w:r>
              <w:rPr>
                <w:rStyle w:val="CharStyle19"/>
              </w:rPr>
              <w:t>Из пункта 17 II. Информационная карта аукциона документации об Аукционе следует:</w:t>
            </w:r>
          </w:p>
        </w:tc>
      </w:tr>
      <w:tr>
        <w:trPr>
          <w:trHeight w:val="3854" w:hRule="exact"/>
        </w:trPr>
        <w:tc>
          <w:tcPr>
            <w:shd w:val="clear" w:color="auto" w:fill="FFFFFF"/>
            <w:vMerge w:val="restart"/>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0"/>
              </w:rPr>
              <w:t>17.</w:t>
            </w:r>
          </w:p>
        </w:tc>
        <w:tc>
          <w:tcPr>
            <w:shd w:val="clear" w:color="auto" w:fill="FFFFFF"/>
            <w:vMerge w:val="restart"/>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Часть 11</w:t>
            </w:r>
          </w:p>
        </w:tc>
        <w:tc>
          <w:tcPr>
            <w:shd w:val="clear" w:color="auto" w:fill="FFFFFF"/>
            <w:vMerge w:val="restart"/>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0"/>
              </w:rPr>
              <w:t>Требования к участникам аукциона</w:t>
            </w:r>
          </w:p>
        </w:tc>
        <w:tc>
          <w:tcPr>
            <w:shd w:val="clear" w:color="auto" w:fill="FFFFFF"/>
            <w:tcBorders>
              <w:left w:val="single" w:sz="4"/>
              <w:right w:val="single" w:sz="4"/>
              <w:top w:val="single" w:sz="4"/>
            </w:tcBorders>
            <w:vAlign w:val="bottom"/>
          </w:tcPr>
          <w:p>
            <w:pPr>
              <w:pStyle w:val="Style10"/>
              <w:framePr w:w="9533"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1. К участникам аукциона устанавливаются следующие единые требования:</w:t>
            </w:r>
          </w:p>
          <w:p>
            <w:pPr>
              <w:pStyle w:val="Style10"/>
              <w:framePr w:w="9533"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1)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установлено в соответствии со ст. 55.8 Градостроительного кодекса РФ:</w:t>
            </w:r>
          </w:p>
          <w:p>
            <w:pPr>
              <w:pStyle w:val="Style10"/>
              <w:numPr>
                <w:ilvl w:val="0"/>
                <w:numId w:val="9"/>
              </w:numPr>
              <w:framePr w:w="9533" w:wrap="notBeside" w:vAnchor="text" w:hAnchor="text" w:xAlign="center" w:y="1"/>
              <w:tabs>
                <w:tab w:leader="none" w:pos="158" w:val="left"/>
              </w:tabs>
              <w:widowControl w:val="0"/>
              <w:keepNext w:val="0"/>
              <w:keepLines w:val="0"/>
              <w:shd w:val="clear" w:color="auto" w:fill="auto"/>
              <w:bidi w:val="0"/>
              <w:jc w:val="both"/>
              <w:spacing w:before="0" w:after="0" w:line="226" w:lineRule="exact"/>
              <w:ind w:left="0" w:right="0" w:firstLine="0"/>
            </w:pPr>
            <w:r>
              <w:rPr>
                <w:rStyle w:val="CharStyle20"/>
              </w:rPr>
              <w:t>участник электронного аукциона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если иное не установлено положениями Градостроительного кодекса РФ;</w:t>
            </w:r>
          </w:p>
          <w:p>
            <w:pPr>
              <w:pStyle w:val="Style10"/>
              <w:numPr>
                <w:ilvl w:val="0"/>
                <w:numId w:val="9"/>
              </w:numPr>
              <w:framePr w:w="9533" w:wrap="notBeside" w:vAnchor="text" w:hAnchor="text" w:xAlign="center" w:y="1"/>
              <w:tabs>
                <w:tab w:leader="none" w:pos="259" w:val="left"/>
              </w:tabs>
              <w:widowControl w:val="0"/>
              <w:keepNext w:val="0"/>
              <w:keepLines w:val="0"/>
              <w:shd w:val="clear" w:color="auto" w:fill="auto"/>
              <w:bidi w:val="0"/>
              <w:jc w:val="both"/>
              <w:spacing w:before="0" w:after="0" w:line="226" w:lineRule="exact"/>
              <w:ind w:left="0" w:right="0" w:firstLine="0"/>
            </w:pPr>
            <w:r>
              <w:rPr>
                <w:rStyle w:val="CharStyle20"/>
              </w:rPr>
              <w:t>СРО, в которой состоит участник электронного аукциона, должна иметь компенсационный фонд обеспечения договорных обязательств, сформированного в соответствии со статьями 55.4 и 55.16</w:t>
            </w:r>
          </w:p>
        </w:tc>
      </w:tr>
      <w:tr>
        <w:trPr>
          <w:trHeight w:val="4171" w:hRule="exact"/>
        </w:trPr>
        <w:tc>
          <w:tcPr>
            <w:shd w:val="clear" w:color="auto" w:fill="FFFFFF"/>
            <w:vMerge/>
            <w:tcBorders>
              <w:left w:val="single" w:sz="4"/>
              <w:bottom w:val="single" w:sz="4"/>
            </w:tcBorders>
            <w:vAlign w:val="top"/>
          </w:tcPr>
          <w:p>
            <w:pPr>
              <w:framePr w:w="9533" w:wrap="notBeside" w:vAnchor="text" w:hAnchor="text" w:xAlign="center" w:y="1"/>
            </w:pPr>
          </w:p>
        </w:tc>
        <w:tc>
          <w:tcPr>
            <w:shd w:val="clear" w:color="auto" w:fill="FFFFFF"/>
            <w:vMerge/>
            <w:tcBorders>
              <w:left w:val="single" w:sz="4"/>
              <w:bottom w:val="single" w:sz="4"/>
            </w:tcBorders>
            <w:vAlign w:val="top"/>
          </w:tcPr>
          <w:p>
            <w:pPr>
              <w:framePr w:w="9533" w:wrap="notBeside" w:vAnchor="text" w:hAnchor="text" w:xAlign="center" w:y="1"/>
            </w:pPr>
          </w:p>
        </w:tc>
        <w:tc>
          <w:tcPr>
            <w:shd w:val="clear" w:color="auto" w:fill="FFFFFF"/>
            <w:vMerge/>
            <w:tcBorders>
              <w:left w:val="single" w:sz="4"/>
              <w:bottom w:val="single" w:sz="4"/>
            </w:tcBorders>
            <w:vAlign w:val="top"/>
          </w:tcPr>
          <w:p>
            <w:pPr>
              <w:framePr w:w="9533" w:wrap="notBeside" w:vAnchor="text" w:hAnchor="text" w:xAlign="center" w:y="1"/>
            </w:pPr>
          </w:p>
        </w:tc>
        <w:tc>
          <w:tcPr>
            <w:shd w:val="clear" w:color="auto" w:fill="FFFFFF"/>
            <w:tcBorders>
              <w:left w:val="single" w:sz="4"/>
              <w:right w:val="single" w:sz="4"/>
              <w:top w:val="single" w:sz="4"/>
              <w:bottom w:val="single" w:sz="4"/>
            </w:tcBorders>
            <w:vAlign w:val="bottom"/>
          </w:tcPr>
          <w:p>
            <w:pPr>
              <w:pStyle w:val="Style10"/>
              <w:framePr w:w="9533"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Градостроительного кодекса РФ;</w:t>
            </w:r>
          </w:p>
          <w:p>
            <w:pPr>
              <w:pStyle w:val="Style10"/>
              <w:framePr w:w="9533"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0"/>
              </w:rPr>
              <w:t>-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(часть 13 статьи 55.16 Градостроительного кодекса РФ).</w:t>
            </w:r>
          </w:p>
          <w:p>
            <w:pPr>
              <w:pStyle w:val="Style10"/>
              <w:numPr>
                <w:ilvl w:val="0"/>
                <w:numId w:val="11"/>
              </w:numPr>
              <w:framePr w:w="9533" w:wrap="notBeside" w:vAnchor="text" w:hAnchor="text" w:xAlign="center" w:y="1"/>
              <w:tabs>
                <w:tab w:leader="none" w:pos="360" w:val="left"/>
              </w:tabs>
              <w:widowControl w:val="0"/>
              <w:keepNext w:val="0"/>
              <w:keepLines w:val="0"/>
              <w:shd w:val="clear" w:color="auto" w:fill="auto"/>
              <w:bidi w:val="0"/>
              <w:jc w:val="both"/>
              <w:spacing w:before="0" w:after="0" w:line="226" w:lineRule="exact"/>
              <w:ind w:left="0" w:right="0" w:firstLine="0"/>
            </w:pPr>
            <w:r>
              <w:rPr>
                <w:rStyle w:val="CharStyle20"/>
              </w:rPr>
              <w:t>непроведение ликвидации участника аукциона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pPr>
              <w:pStyle w:val="Style10"/>
              <w:numPr>
                <w:ilvl w:val="0"/>
                <w:numId w:val="11"/>
              </w:numPr>
              <w:framePr w:w="9533" w:wrap="notBeside" w:vAnchor="text" w:hAnchor="text" w:xAlign="center" w:y="1"/>
              <w:tabs>
                <w:tab w:leader="none" w:pos="230" w:val="left"/>
              </w:tabs>
              <w:widowControl w:val="0"/>
              <w:keepNext w:val="0"/>
              <w:keepLines w:val="0"/>
              <w:shd w:val="clear" w:color="auto" w:fill="auto"/>
              <w:bidi w:val="0"/>
              <w:jc w:val="both"/>
              <w:spacing w:before="0" w:after="0" w:line="226" w:lineRule="exact"/>
              <w:ind w:left="0" w:right="0" w:firstLine="0"/>
            </w:pPr>
            <w:r>
              <w:rPr>
                <w:rStyle w:val="CharStyle20"/>
              </w:rPr>
              <w:t>неприостановление деятельности участника аукциона в порядке, установленном Кодексом Российской Федерации об административных правонарушениях на дату подачи заявки на участие в аукционе;</w:t>
            </w:r>
          </w:p>
          <w:p>
            <w:pPr>
              <w:pStyle w:val="Style10"/>
              <w:numPr>
                <w:ilvl w:val="0"/>
                <w:numId w:val="11"/>
              </w:numPr>
              <w:framePr w:w="9533" w:wrap="notBeside" w:vAnchor="text" w:hAnchor="text" w:xAlign="center" w:y="1"/>
              <w:tabs>
                <w:tab w:leader="none" w:pos="226" w:val="left"/>
              </w:tabs>
              <w:widowControl w:val="0"/>
              <w:keepNext w:val="0"/>
              <w:keepLines w:val="0"/>
              <w:shd w:val="clear" w:color="auto" w:fill="auto"/>
              <w:bidi w:val="0"/>
              <w:jc w:val="both"/>
              <w:spacing w:before="0" w:after="0" w:line="226" w:lineRule="exact"/>
              <w:ind w:left="0" w:right="0" w:firstLine="0"/>
            </w:pPr>
            <w:r>
              <w:rPr>
                <w:rStyle w:val="CharStyle20"/>
              </w:rPr>
              <w:t>отсутствие у участника аукциона недоимки по налогам,</w:t>
            </w:r>
          </w:p>
        </w:tc>
      </w:tr>
    </w:tbl>
    <w:p>
      <w:pPr>
        <w:widowControl w:val="0"/>
        <w:rPr>
          <w:sz w:val="2"/>
          <w:szCs w:val="2"/>
        </w:rPr>
      </w:pPr>
    </w:p>
    <w:p>
      <w:pPr>
        <w:widowControl w:val="0"/>
        <w:rPr>
          <w:sz w:val="2"/>
          <w:szCs w:val="2"/>
        </w:rPr>
        <w:sectPr>
          <w:type w:val="continuous"/>
          <w:pgSz w:w="16838" w:h="23810"/>
          <w:pgMar w:top="4432" w:left="3861" w:right="3434" w:bottom="4763" w:header="0" w:footer="3" w:gutter="0"/>
          <w:rtlGutter w:val="0"/>
          <w:cols w:space="720"/>
          <w:noEndnote/>
          <w:docGrid w:linePitch="360"/>
        </w:sectPr>
      </w:pP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аукциона считается соответствующим установленному требованию в случае, если им в установленном порядке подано заявление об обжаловании указанной недоимки, задолженности и решение по такому заявлению на дату рассмотрения заявки на участие в определении Поставщика не принято;</w:t>
      </w:r>
    </w:p>
    <w:p>
      <w:pPr>
        <w:pStyle w:val="Style7"/>
        <w:numPr>
          <w:ilvl w:val="0"/>
          <w:numId w:val="7"/>
        </w:numPr>
        <w:tabs>
          <w:tab w:leader="none" w:pos="2814"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отсутствие у участника аукциона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аукциона судимости за преступления в сфере экономики и (или) преступления, предусмотренные статьями 289, 290, 291,</w:t>
      </w:r>
    </w:p>
    <w:p>
      <w:pPr>
        <w:pStyle w:val="Style7"/>
        <w:numPr>
          <w:ilvl w:val="0"/>
          <w:numId w:val="13"/>
        </w:numPr>
        <w:tabs>
          <w:tab w:leader="none" w:pos="2814" w:val="left"/>
          <w:tab w:leader="none" w:pos="620"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w:t>
        <w:tab/>
        <w:t>являющихся объектом осуществляемой закупки, и административного наказания в виде дисквалификации;</w:t>
      </w:r>
    </w:p>
    <w:p>
      <w:pPr>
        <w:pStyle w:val="Style7"/>
        <w:numPr>
          <w:ilvl w:val="0"/>
          <w:numId w:val="15"/>
        </w:numPr>
        <w:tabs>
          <w:tab w:leader="none" w:pos="477"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участник аукциона - юридическое лицо, которое в течение двух лет до момента подачи заявки на участие в аукционе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7"/>
        <w:numPr>
          <w:ilvl w:val="0"/>
          <w:numId w:val="7"/>
        </w:numPr>
        <w:tabs>
          <w:tab w:leader="none" w:pos="2146" w:val="left"/>
          <w:tab w:leader="none" w:pos="5022" w:val="righ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отсутствие между участником аукциона и заказчиком, уполномоченным органом конфликта интересов, под которым понимаются случаи, при которых руководитель заказчика, член аукционной комиссии, руководитель контрактной службы заказчика, состоят в браке с физическими</w:t>
        <w:tab/>
        <w:t>лицами,</w:t>
        <w:tab/>
        <w:t>являющимися</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sectPr>
          <w:type w:val="continuous"/>
          <w:pgSz w:w="16838" w:h="23810"/>
          <w:pgMar w:top="4151" w:left="8167" w:right="3626" w:bottom="4449" w:header="0" w:footer="3" w:gutter="0"/>
          <w:rtlGutter w:val="0"/>
          <w:cols w:space="720"/>
          <w:noEndnote/>
          <w:docGrid w:linePitch="360"/>
        </w:sectPr>
      </w:pPr>
      <w:r>
        <w:rPr>
          <w:lang w:val="ru-RU" w:eastAsia="ru-RU" w:bidi="ru-RU"/>
          <w:w w:val="100"/>
          <w:spacing w:val="0"/>
          <w:color w:val="000000"/>
          <w:position w:val="0"/>
        </w:rPr>
        <w:t xml:space="preserve">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аукциона, с физическими лицами, в том числе зарегистрированными в качестве индивидуального предпринимателя, участниками аукциона либо являются близкими </w:t>
      </w:r>
      <w:r>
        <w:rPr>
          <w:rStyle w:val="CharStyle22"/>
        </w:rPr>
        <w:t>родственниками (родственниками по прямой восходящей</w:t>
      </w:r>
    </w:p>
    <w:p>
      <w:pPr>
        <w:pStyle w:val="Style7"/>
        <w:widowControl w:val="0"/>
        <w:keepNext w:val="0"/>
        <w:keepLines w:val="0"/>
        <w:shd w:val="clear" w:color="auto" w:fill="auto"/>
        <w:bidi w:val="0"/>
        <w:jc w:val="both"/>
        <w:spacing w:before="0" w:after="0" w:line="230" w:lineRule="exact"/>
        <w:ind w:left="4260" w:right="120" w:firstLine="0"/>
      </w:pPr>
      <w:r>
        <w:rPr>
          <w:lang w:val="ru-RU" w:eastAsia="ru-RU" w:bidi="ru-RU"/>
          <w:w w:val="100"/>
          <w:spacing w:val="0"/>
          <w:color w:val="000000"/>
          <w:position w:val="0"/>
        </w:rPr>
        <w:t>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7"/>
        <w:numPr>
          <w:ilvl w:val="0"/>
          <w:numId w:val="7"/>
        </w:numPr>
        <w:widowControl w:val="0"/>
        <w:keepNext w:val="0"/>
        <w:keepLines w:val="0"/>
        <w:shd w:val="clear" w:color="auto" w:fill="auto"/>
        <w:bidi w:val="0"/>
        <w:jc w:val="both"/>
        <w:spacing w:before="0" w:after="0" w:line="230" w:lineRule="exact"/>
        <w:ind w:left="4260" w:right="0" w:firstLine="0"/>
      </w:pPr>
      <w:r>
        <w:rPr>
          <w:lang w:val="ru-RU" w:eastAsia="ru-RU" w:bidi="ru-RU"/>
          <w:w w:val="100"/>
          <w:spacing w:val="0"/>
          <w:color w:val="000000"/>
          <w:position w:val="0"/>
        </w:rPr>
        <w:t xml:space="preserve"> </w:t>
      </w:r>
      <w:r>
        <w:rPr>
          <w:rStyle w:val="CharStyle22"/>
        </w:rPr>
        <w:t>участник аукциона не является офшорной компанией</w:t>
      </w:r>
      <w:r>
        <w:rPr>
          <w:lang w:val="ru-RU" w:eastAsia="ru-RU" w:bidi="ru-RU"/>
          <w:w w:val="100"/>
          <w:spacing w:val="0"/>
          <w:color w:val="000000"/>
          <w:position w:val="0"/>
        </w:rPr>
        <w:t>:</w:t>
      </w:r>
    </w:p>
    <w:p>
      <w:pPr>
        <w:pStyle w:val="Style7"/>
        <w:numPr>
          <w:ilvl w:val="0"/>
          <w:numId w:val="7"/>
        </w:numPr>
        <w:tabs>
          <w:tab w:leader="underscore" w:pos="9300" w:val="left"/>
        </w:tabs>
        <w:widowControl w:val="0"/>
        <w:keepNext w:val="0"/>
        <w:keepLines w:val="0"/>
        <w:shd w:val="clear" w:color="auto" w:fill="auto"/>
        <w:bidi w:val="0"/>
        <w:jc w:val="both"/>
        <w:spacing w:before="0" w:after="0" w:line="230" w:lineRule="exact"/>
        <w:ind w:left="4260" w:right="120" w:firstLine="0"/>
      </w:pPr>
      <w:r>
        <w:rPr>
          <w:lang w:val="ru-RU" w:eastAsia="ru-RU" w:bidi="ru-RU"/>
          <w:w w:val="100"/>
          <w:spacing w:val="0"/>
          <w:color w:val="000000"/>
          <w:position w:val="0"/>
        </w:rPr>
        <w:t xml:space="preserve"> отсутствие у участника закупки ограничений для участия в закупках, установленных законодательством </w:t>
      </w:r>
      <w:r>
        <w:rPr>
          <w:rStyle w:val="CharStyle22"/>
        </w:rPr>
        <w:t>Российской Федерации.</w:t>
      </w:r>
      <w:r>
        <w:rPr>
          <w:lang w:val="ru-RU" w:eastAsia="ru-RU" w:bidi="ru-RU"/>
          <w:w w:val="100"/>
          <w:spacing w:val="0"/>
          <w:color w:val="000000"/>
          <w:position w:val="0"/>
        </w:rPr>
        <w:tab/>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Таким образом, Заказчиком в аукционной документации установлено требование к участнику закупки о предоставлении во второй части заявки декларации о том, что участник закупки не является офшорной компанией.</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Учитывая изложенное, действия Заказчика, установившего в документации об Аукционе излишнее требование к составу заявки участника закупки, а именно предоставление декларации о том, что участник закупки не является офшорной компанией, нарушают </w:t>
      </w:r>
      <w:r>
        <w:rPr>
          <w:rStyle w:val="CharStyle14"/>
        </w:rPr>
        <w:t>часть 6 статьи 66</w:t>
      </w:r>
      <w:r>
        <w:rPr>
          <w:lang w:val="ru-RU" w:eastAsia="ru-RU" w:bidi="ru-RU"/>
          <w:w w:val="100"/>
          <w:spacing w:val="0"/>
          <w:color w:val="000000"/>
          <w:position w:val="0"/>
        </w:rPr>
        <w:t xml:space="preserve"> Закона, что содержит признаки административного правонарушения, ответственность за совершение которое предусмотрена частью 4.2 статьи 7.30 Кодекса Российской Федерации об административных правонарушениях (далее - КоАП РФ).</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10"/>
        <w:numPr>
          <w:ilvl w:val="0"/>
          <w:numId w:val="17"/>
        </w:numPr>
        <w:tabs>
          <w:tab w:leader="none" w:pos="1345" w:val="left"/>
        </w:tabs>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В соответствии с пунктом 11 части 1 статьи 31 Закона при осуществлении закупки заказчик устанавливает единые требования к участникам закупки, в том числе об отсутствии у участника закупки ограничений для участия в закупках, установленных законодательством Российской Федерации.</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Частью 5 статьи 66 Закона установлен исчерпывающий перечень документов, подлежащих предоставлению участниками в составе второй части заявки на участие в Аукционе.</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В соответствии с пунктом 2 части 5 статьи 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r>
        <w:rPr>
          <w:rStyle w:val="CharStyle23"/>
        </w:rPr>
        <w:t>пунктом</w:t>
      </w:r>
      <w:r>
        <w:rPr>
          <w:rStyle w:val="CharStyle24"/>
        </w:rPr>
        <w:t xml:space="preserve"> </w:t>
      </w:r>
      <w:r>
        <w:rPr>
          <w:rStyle w:val="CharStyle14"/>
        </w:rPr>
        <w:t>1</w:t>
      </w:r>
      <w:r>
        <w:rPr>
          <w:lang w:val="ru-RU" w:eastAsia="ru-RU" w:bidi="ru-RU"/>
          <w:w w:val="100"/>
          <w:spacing w:val="0"/>
          <w:color w:val="000000"/>
          <w:position w:val="0"/>
        </w:rPr>
        <w:t xml:space="preserve"> </w:t>
      </w:r>
      <w:r>
        <w:rPr>
          <w:rStyle w:val="CharStyle14"/>
        </w:rPr>
        <w:t>части 1 статьи 31</w:t>
      </w:r>
      <w:r>
        <w:rPr>
          <w:lang w:val="ru-RU" w:eastAsia="ru-RU" w:bidi="ru-RU"/>
          <w:w w:val="100"/>
          <w:spacing w:val="0"/>
          <w:color w:val="000000"/>
          <w:position w:val="0"/>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r>
        <w:rPr>
          <w:rStyle w:val="CharStyle14"/>
        </w:rPr>
        <w:t>пунктами 3</w:t>
      </w:r>
      <w:r>
        <w:rPr>
          <w:lang w:val="ru-RU" w:eastAsia="ru-RU" w:bidi="ru-RU"/>
          <w:w w:val="100"/>
          <w:spacing w:val="0"/>
          <w:color w:val="000000"/>
          <w:position w:val="0"/>
        </w:rPr>
        <w:t xml:space="preserve"> - </w:t>
      </w:r>
      <w:r>
        <w:rPr>
          <w:rStyle w:val="CharStyle14"/>
        </w:rPr>
        <w:t>9 части 1 статьи 31</w:t>
      </w:r>
      <w:r>
        <w:rPr>
          <w:lang w:val="ru-RU" w:eastAsia="ru-RU" w:bidi="ru-RU"/>
          <w:w w:val="100"/>
          <w:spacing w:val="0"/>
          <w:color w:val="000000"/>
          <w:position w:val="0"/>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Согласно части 6 статьи 66 Закона требовать от участника электронного аукциона предоставления иных документов и информации, за исключением предусмотренных </w:t>
      </w:r>
      <w:r>
        <w:rPr>
          <w:rStyle w:val="CharStyle14"/>
        </w:rPr>
        <w:t>частями 3</w:t>
      </w:r>
      <w:r>
        <w:rPr>
          <w:lang w:val="ru-RU" w:eastAsia="ru-RU" w:bidi="ru-RU"/>
          <w:w w:val="100"/>
          <w:spacing w:val="0"/>
          <w:color w:val="000000"/>
          <w:position w:val="0"/>
        </w:rPr>
        <w:t xml:space="preserve"> или ЗЛ. и 5 настоящей статьи документов и информации, не допускается.</w:t>
      </w:r>
    </w:p>
    <w:p>
      <w:pPr>
        <w:pStyle w:val="Style10"/>
        <w:tabs>
          <w:tab w:leader="underscore" w:pos="3961" w:val="left"/>
        </w:tabs>
        <w:widowControl w:val="0"/>
        <w:keepNext w:val="0"/>
        <w:keepLines w:val="0"/>
        <w:shd w:val="clear" w:color="auto" w:fill="auto"/>
        <w:bidi w:val="0"/>
        <w:jc w:val="both"/>
        <w:spacing w:before="0" w:after="0" w:line="288" w:lineRule="exact"/>
        <w:ind w:left="20" w:right="0" w:firstLine="700"/>
        <w:sectPr>
          <w:pgSz w:w="16838" w:h="23810"/>
          <w:pgMar w:top="4165" w:left="3935" w:right="3532" w:bottom="4251" w:header="0" w:footer="3" w:gutter="0"/>
          <w:rtlGutter w:val="0"/>
          <w:cols w:space="720"/>
          <w:noEndnote/>
          <w:docGrid w:linePitch="360"/>
        </w:sectPr>
      </w:pPr>
      <w:r>
        <w:rPr>
          <w:lang w:val="ru-RU" w:eastAsia="ru-RU" w:bidi="ru-RU"/>
          <w:w w:val="100"/>
          <w:spacing w:val="0"/>
          <w:color w:val="000000"/>
          <w:position w:val="0"/>
        </w:rPr>
        <w:t xml:space="preserve">В пункте 18 Раздела II. Информационная карта аукциона документации об </w:t>
      </w:r>
      <w:r>
        <w:rPr>
          <w:rStyle w:val="CharStyle14"/>
        </w:rPr>
        <w:t>Аукционе установлено:</w:t>
      </w:r>
      <w:r>
        <w:rPr>
          <w:lang w:val="ru-RU" w:eastAsia="ru-RU" w:bidi="ru-RU"/>
          <w:w w:val="100"/>
          <w:spacing w:val="0"/>
          <w:color w:val="000000"/>
          <w:position w:val="0"/>
        </w:rPr>
        <w:tab/>
      </w:r>
    </w:p>
    <w:p>
      <w:pPr>
        <w:pStyle w:val="Style10"/>
        <w:framePr w:w="454" w:h="220" w:wrap="none" w:vAnchor="text" w:hAnchor="margin" w:x="350" w:y="3"/>
        <w:widowControl w:val="0"/>
        <w:keepNext w:val="0"/>
        <w:keepLines w:val="0"/>
        <w:shd w:val="clear" w:color="auto" w:fill="auto"/>
        <w:bidi w:val="0"/>
        <w:jc w:val="left"/>
        <w:spacing w:before="0" w:after="0" w:line="220" w:lineRule="exact"/>
        <w:ind w:left="100" w:right="0" w:firstLine="0"/>
      </w:pPr>
      <w:r>
        <w:rPr>
          <w:rStyle w:val="CharStyle11"/>
          <w:spacing w:val="0"/>
        </w:rPr>
        <w:t>18.</w:t>
      </w:r>
    </w:p>
    <w:p>
      <w:pPr>
        <w:pStyle w:val="Style10"/>
        <w:framePr w:w="1045" w:h="220" w:wrap="none" w:vAnchor="text" w:hAnchor="margin" w:x="873" w:y="3"/>
        <w:widowControl w:val="0"/>
        <w:keepNext w:val="0"/>
        <w:keepLines w:val="0"/>
        <w:shd w:val="clear" w:color="auto" w:fill="auto"/>
        <w:bidi w:val="0"/>
        <w:jc w:val="left"/>
        <w:spacing w:before="0" w:after="0" w:line="220" w:lineRule="exact"/>
        <w:ind w:left="100" w:right="0" w:firstLine="0"/>
      </w:pPr>
      <w:r>
        <w:rPr>
          <w:rStyle w:val="CharStyle11"/>
          <w:spacing w:val="0"/>
        </w:rPr>
        <w:t>Часть 11</w:t>
      </w:r>
    </w:p>
    <w:p>
      <w:pPr>
        <w:pStyle w:val="Style10"/>
        <w:framePr w:w="2187" w:h="1611" w:wrap="none" w:vAnchor="text" w:hAnchor="margin" w:x="2289" w:y="3"/>
        <w:widowControl w:val="0"/>
        <w:keepNext w:val="0"/>
        <w:keepLines w:val="0"/>
        <w:shd w:val="clear" w:color="auto" w:fill="auto"/>
        <w:bidi w:val="0"/>
        <w:jc w:val="left"/>
        <w:spacing w:before="0" w:after="0" w:line="274" w:lineRule="exact"/>
        <w:ind w:left="100" w:right="120" w:firstLine="0"/>
      </w:pPr>
      <w:r>
        <w:rPr>
          <w:rStyle w:val="CharStyle11"/>
          <w:spacing w:val="0"/>
        </w:rPr>
        <w:t>Требования к содержанию, составу заявки на участие в аукционе и инструкция по ее заполнению</w:t>
      </w:r>
    </w:p>
    <w:p>
      <w:pPr>
        <w:pStyle w:val="Style7"/>
        <w:framePr w:w="5221" w:h="1812" w:wrap="none" w:vAnchor="text" w:hAnchor="margin" w:x="4559" w:y="3"/>
        <w:widowControl w:val="0"/>
        <w:keepNext w:val="0"/>
        <w:keepLines w:val="0"/>
        <w:shd w:val="clear" w:color="auto" w:fill="auto"/>
        <w:bidi w:val="0"/>
        <w:jc w:val="both"/>
        <w:spacing w:before="0" w:after="0" w:line="230" w:lineRule="exact"/>
        <w:ind w:left="100" w:right="0" w:firstLine="0"/>
      </w:pPr>
      <w:r>
        <w:rPr>
          <w:rStyle w:val="CharStyle8"/>
          <w:spacing w:val="0"/>
        </w:rPr>
        <w:t>Заявка на участие в аукционе состоит из двух частей:</w:t>
      </w:r>
    </w:p>
    <w:p>
      <w:pPr>
        <w:pStyle w:val="Style7"/>
        <w:framePr w:w="5221" w:h="1812" w:wrap="none" w:vAnchor="text" w:hAnchor="margin" w:x="4559" w:y="3"/>
        <w:widowControl w:val="0"/>
        <w:keepNext w:val="0"/>
        <w:keepLines w:val="0"/>
        <w:shd w:val="clear" w:color="auto" w:fill="auto"/>
        <w:bidi w:val="0"/>
        <w:jc w:val="both"/>
        <w:spacing w:before="0" w:after="0" w:line="230" w:lineRule="exact"/>
        <w:ind w:left="100" w:right="100" w:firstLine="0"/>
      </w:pPr>
      <w:r>
        <w:rPr>
          <w:rStyle w:val="CharStyle8"/>
          <w:spacing w:val="0"/>
        </w:rPr>
        <w:t>2. Вторая часть заявки на участие в аукционе должна содержать следующие документы и информацию:</w:t>
      </w:r>
    </w:p>
    <w:p>
      <w:pPr>
        <w:pStyle w:val="Style7"/>
        <w:framePr w:w="5221" w:h="1812" w:wrap="none" w:vAnchor="text" w:hAnchor="margin" w:x="4559" w:y="3"/>
        <w:widowControl w:val="0"/>
        <w:keepNext w:val="0"/>
        <w:keepLines w:val="0"/>
        <w:shd w:val="clear" w:color="auto" w:fill="auto"/>
        <w:bidi w:val="0"/>
        <w:jc w:val="both"/>
        <w:spacing w:before="0" w:after="0" w:line="230" w:lineRule="exact"/>
        <w:ind w:left="100" w:right="100" w:firstLine="0"/>
      </w:pPr>
      <w:r>
        <w:rPr>
          <w:rStyle w:val="CharStyle8"/>
          <w:spacing w:val="0"/>
        </w:rPr>
        <w:t xml:space="preserve">3) декларацию о соответствии участника аукциона требованиям, установленным подпунктами 2-8 части 17 настоящей Информационной карты аукциона (указанная декларация предоставляется с использованием </w:t>
      </w:r>
      <w:r>
        <w:rPr>
          <w:rStyle w:val="CharStyle25"/>
          <w:spacing w:val="0"/>
        </w:rPr>
        <w:t>программно-аппаратных средств электронной площадки)</w:t>
      </w:r>
    </w:p>
    <w:p>
      <w:pPr>
        <w:widowControl w:val="0"/>
        <w:spacing w:line="360" w:lineRule="exact"/>
      </w:pPr>
    </w:p>
    <w:p>
      <w:pPr>
        <w:widowControl w:val="0"/>
        <w:spacing w:line="360" w:lineRule="exact"/>
      </w:pPr>
    </w:p>
    <w:p>
      <w:pPr>
        <w:widowControl w:val="0"/>
        <w:spacing w:line="360" w:lineRule="exact"/>
      </w:pPr>
    </w:p>
    <w:p>
      <w:pPr>
        <w:widowControl w:val="0"/>
        <w:spacing w:line="712" w:lineRule="exact"/>
      </w:pPr>
    </w:p>
    <w:p>
      <w:pPr>
        <w:widowControl w:val="0"/>
        <w:rPr>
          <w:sz w:val="2"/>
          <w:szCs w:val="2"/>
        </w:rPr>
        <w:sectPr>
          <w:type w:val="continuous"/>
          <w:pgSz w:w="16838" w:h="23810"/>
          <w:pgMar w:top="3128" w:left="3513" w:right="3513" w:bottom="3128" w:header="0" w:footer="3" w:gutter="0"/>
          <w:rtlGutter w:val="0"/>
          <w:cols w:space="720"/>
          <w:noEndnote/>
          <w:docGrid w:linePitch="360"/>
        </w:sectPr>
      </w:pPr>
    </w:p>
    <w:p>
      <w:pPr>
        <w:pStyle w:val="Style10"/>
        <w:tabs>
          <w:tab w:leader="underscore" w:pos="3941" w:val="left"/>
        </w:tabs>
        <w:widowControl w:val="0"/>
        <w:keepNext w:val="0"/>
        <w:keepLines w:val="0"/>
        <w:shd w:val="clear" w:color="auto" w:fill="auto"/>
        <w:bidi w:val="0"/>
        <w:jc w:val="left"/>
        <w:spacing w:before="0" w:after="0" w:line="278" w:lineRule="exact"/>
        <w:ind w:left="0" w:right="380" w:firstLine="720"/>
        <w:sectPr>
          <w:pgSz w:w="16838" w:h="23810"/>
          <w:pgMar w:top="4158" w:left="3762" w:right="3340" w:bottom="4288" w:header="0" w:footer="3" w:gutter="0"/>
          <w:rtlGutter w:val="0"/>
          <w:cols w:space="720"/>
          <w:noEndnote/>
          <w:docGrid w:linePitch="360"/>
        </w:sectPr>
      </w:pPr>
      <w:r>
        <w:rPr>
          <w:lang w:val="ru-RU" w:eastAsia="ru-RU" w:bidi="ru-RU"/>
          <w:w w:val="100"/>
          <w:spacing w:val="0"/>
          <w:color w:val="000000"/>
          <w:position w:val="0"/>
        </w:rPr>
        <w:t xml:space="preserve">Из пункта 17 II. Информационная карта аукциона документации об </w:t>
      </w:r>
      <w:r>
        <w:rPr>
          <w:rStyle w:val="CharStyle14"/>
        </w:rPr>
        <w:t>Аукционе следует:</w:t>
      </w:r>
      <w:r>
        <w:rPr>
          <w:lang w:val="ru-RU" w:eastAsia="ru-RU" w:bidi="ru-RU"/>
          <w:w w:val="100"/>
          <w:spacing w:val="0"/>
          <w:color w:val="000000"/>
          <w:position w:val="0"/>
        </w:rPr>
        <w:tab/>
      </w:r>
    </w:p>
    <w:p>
      <w:pPr>
        <w:pStyle w:val="Style7"/>
        <w:framePr w:w="411" w:h="171" w:wrap="none" w:vAnchor="text" w:hAnchor="margin" w:x="379"/>
        <w:widowControl w:val="0"/>
        <w:keepNext w:val="0"/>
        <w:keepLines w:val="0"/>
        <w:shd w:val="clear" w:color="auto" w:fill="auto"/>
        <w:bidi w:val="0"/>
        <w:jc w:val="left"/>
        <w:spacing w:before="0" w:after="0" w:line="160" w:lineRule="exact"/>
        <w:ind w:left="100" w:right="0" w:firstLine="0"/>
      </w:pPr>
      <w:r>
        <w:rPr>
          <w:rStyle w:val="CharStyle8"/>
          <w:spacing w:val="0"/>
        </w:rPr>
        <w:t>17.</w:t>
      </w:r>
    </w:p>
    <w:p>
      <w:pPr>
        <w:pStyle w:val="Style7"/>
        <w:framePr w:w="896" w:h="166" w:wrap="none" w:vAnchor="text" w:hAnchor="margin" w:x="873"/>
        <w:widowControl w:val="0"/>
        <w:keepNext w:val="0"/>
        <w:keepLines w:val="0"/>
        <w:shd w:val="clear" w:color="auto" w:fill="auto"/>
        <w:bidi w:val="0"/>
        <w:jc w:val="left"/>
        <w:spacing w:before="0" w:after="0" w:line="160" w:lineRule="exact"/>
        <w:ind w:left="100" w:right="0" w:firstLine="0"/>
      </w:pPr>
      <w:r>
        <w:rPr>
          <w:rStyle w:val="CharStyle8"/>
          <w:spacing w:val="0"/>
        </w:rPr>
        <w:t>Часть 11</w:t>
      </w:r>
    </w:p>
    <w:p>
      <w:pPr>
        <w:pStyle w:val="Style7"/>
        <w:framePr w:w="2182" w:h="433" w:wrap="none" w:vAnchor="text" w:hAnchor="margin" w:x="2294" w:y="3"/>
        <w:widowControl w:val="0"/>
        <w:keepNext w:val="0"/>
        <w:keepLines w:val="0"/>
        <w:shd w:val="clear" w:color="auto" w:fill="auto"/>
        <w:bidi w:val="0"/>
        <w:jc w:val="left"/>
        <w:spacing w:before="0" w:after="0" w:line="245" w:lineRule="exact"/>
        <w:ind w:left="100" w:right="100" w:firstLine="0"/>
      </w:pPr>
      <w:r>
        <w:rPr>
          <w:rStyle w:val="CharStyle8"/>
          <w:spacing w:val="0"/>
        </w:rPr>
        <w:t>Требования к участникам аукциона</w:t>
      </w:r>
    </w:p>
    <w:p>
      <w:pPr>
        <w:pStyle w:val="Style7"/>
        <w:framePr w:w="5240" w:h="13931" w:wrap="none" w:vAnchor="text" w:hAnchor="margin" w:x="4555" w:y="3"/>
        <w:widowControl w:val="0"/>
        <w:keepNext w:val="0"/>
        <w:keepLines w:val="0"/>
        <w:shd w:val="clear" w:color="auto" w:fill="auto"/>
        <w:bidi w:val="0"/>
        <w:jc w:val="both"/>
        <w:spacing w:before="0" w:after="0" w:line="230" w:lineRule="exact"/>
        <w:ind w:left="120" w:right="120" w:firstLine="0"/>
      </w:pPr>
      <w:r>
        <w:rPr>
          <w:rStyle w:val="CharStyle8"/>
          <w:spacing w:val="0"/>
        </w:rPr>
        <w:t>1. К участникам аукциона устанавливаются следующие единые требования:</w:t>
      </w:r>
    </w:p>
    <w:p>
      <w:pPr>
        <w:pStyle w:val="Style7"/>
        <w:numPr>
          <w:ilvl w:val="0"/>
          <w:numId w:val="19"/>
        </w:numPr>
        <w:framePr w:w="5240" w:h="13931" w:wrap="none" w:vAnchor="text" w:hAnchor="margin" w:x="4555" w:y="3"/>
        <w:tabs>
          <w:tab w:leader="none" w:pos="3672" w:val="left"/>
        </w:tabs>
        <w:widowControl w:val="0"/>
        <w:keepNext w:val="0"/>
        <w:keepLines w:val="0"/>
        <w:shd w:val="clear" w:color="auto" w:fill="auto"/>
        <w:bidi w:val="0"/>
        <w:jc w:val="both"/>
        <w:spacing w:before="0" w:after="0" w:line="230" w:lineRule="exact"/>
        <w:ind w:left="120" w:right="120" w:firstLine="0"/>
      </w:pPr>
      <w:r>
        <w:rPr>
          <w:rStyle w:val="CharStyle8"/>
          <w:spacing w:val="0"/>
        </w:rPr>
        <w:t xml:space="preserve">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w:t>
        <w:tab/>
        <w:t>установлено в соответствии со ст. 55.8 Градостроительного кодекса РФ:</w:t>
      </w:r>
    </w:p>
    <w:p>
      <w:pPr>
        <w:pStyle w:val="Style7"/>
        <w:numPr>
          <w:ilvl w:val="0"/>
          <w:numId w:val="21"/>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участник электронного аукциона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если иное не установлено положениями Градостроительного кодекса РФ;</w:t>
      </w:r>
    </w:p>
    <w:p>
      <w:pPr>
        <w:pStyle w:val="Style7"/>
        <w:numPr>
          <w:ilvl w:val="0"/>
          <w:numId w:val="21"/>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СРО, в которой состоит участник электронного аукциона, должна иметь компенсационный фонд обеспечения договорных обязательств, сформированного в соответствии со </w:t>
      </w:r>
      <w:r>
        <w:rPr>
          <w:rStyle w:val="CharStyle25"/>
          <w:spacing w:val="0"/>
        </w:rPr>
        <w:t>статьями 55.4</w:t>
      </w:r>
      <w:r>
        <w:rPr>
          <w:rStyle w:val="CharStyle8"/>
          <w:spacing w:val="0"/>
        </w:rPr>
        <w:t xml:space="preserve"> и </w:t>
      </w:r>
      <w:r>
        <w:rPr>
          <w:rStyle w:val="CharStyle25"/>
          <w:spacing w:val="0"/>
        </w:rPr>
        <w:t>55.16</w:t>
      </w:r>
      <w:r>
        <w:rPr>
          <w:rStyle w:val="CharStyle8"/>
          <w:spacing w:val="0"/>
        </w:rPr>
        <w:t xml:space="preserve"> Градостроительного кодекса РФ;</w:t>
      </w:r>
    </w:p>
    <w:p>
      <w:pPr>
        <w:pStyle w:val="Style7"/>
        <w:numPr>
          <w:ilvl w:val="0"/>
          <w:numId w:val="21"/>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(часть 13 статьи 55.16 Градостроительного кодекса РФ).</w:t>
      </w:r>
    </w:p>
    <w:p>
      <w:pPr>
        <w:pStyle w:val="Style7"/>
        <w:numPr>
          <w:ilvl w:val="0"/>
          <w:numId w:val="19"/>
        </w:numPr>
        <w:framePr w:w="5240" w:h="13931" w:wrap="none" w:vAnchor="text" w:hAnchor="margin" w:x="4555" w:y="3"/>
        <w:tabs>
          <w:tab w:leader="none" w:pos="1363" w:val="left"/>
          <w:tab w:leader="none" w:pos="5131" w:val="right"/>
        </w:tabs>
        <w:widowControl w:val="0"/>
        <w:keepNext w:val="0"/>
        <w:keepLines w:val="0"/>
        <w:shd w:val="clear" w:color="auto" w:fill="auto"/>
        <w:bidi w:val="0"/>
        <w:jc w:val="both"/>
        <w:spacing w:before="0" w:after="0" w:line="226" w:lineRule="exact"/>
        <w:ind w:left="120" w:right="120" w:firstLine="0"/>
      </w:pPr>
      <w:r>
        <w:rPr>
          <w:rStyle w:val="CharStyle8"/>
          <w:spacing w:val="0"/>
        </w:rPr>
        <w:t xml:space="preserve"> непроведение ликвидации участника аукциона - юридического лица и отсутствие решения арбитражного суда о признании участника закупки - юридического лица,</w:t>
        <w:tab/>
        <w:t>индивидуального</w:t>
        <w:tab/>
        <w:t>предпринимателя</w:t>
      </w:r>
    </w:p>
    <w:p>
      <w:pPr>
        <w:pStyle w:val="Style7"/>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несостоятельным (банкротом) и об открытии конкурсного производства;</w:t>
      </w:r>
    </w:p>
    <w:p>
      <w:pPr>
        <w:pStyle w:val="Style7"/>
        <w:numPr>
          <w:ilvl w:val="0"/>
          <w:numId w:val="19"/>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неприостановление деятельности участника аукциона в порядке, установленном Кодексом Российской Федерации об административных правонарушениях на дату подачи заявки на участие в аукционе;</w:t>
      </w:r>
    </w:p>
    <w:p>
      <w:pPr>
        <w:pStyle w:val="Style7"/>
        <w:numPr>
          <w:ilvl w:val="0"/>
          <w:numId w:val="19"/>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отсутствие у участника аукциона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аукциона считается соответствующим установленному требованию в случае, если им в установленном порядке подано заявление об обжаловании указанной недоимки, задолженности и решение по такому заявлению на дату рассмотрения заявки на участие в определении Поставщика не принято;</w:t>
      </w:r>
    </w:p>
    <w:p>
      <w:pPr>
        <w:pStyle w:val="Style7"/>
        <w:numPr>
          <w:ilvl w:val="0"/>
          <w:numId w:val="19"/>
        </w:numPr>
        <w:framePr w:w="5240" w:h="13931" w:wrap="none" w:vAnchor="text" w:hAnchor="margin" w:x="4555" w:y="3"/>
        <w:widowControl w:val="0"/>
        <w:keepNext w:val="0"/>
        <w:keepLines w:val="0"/>
        <w:shd w:val="clear" w:color="auto" w:fill="auto"/>
        <w:bidi w:val="0"/>
        <w:jc w:val="both"/>
        <w:spacing w:before="0" w:after="0" w:line="226" w:lineRule="exact"/>
        <w:ind w:left="120" w:right="120" w:firstLine="0"/>
      </w:pPr>
      <w:r>
        <w:rPr>
          <w:rStyle w:val="CharStyle8"/>
          <w:spacing w:val="0"/>
        </w:rPr>
        <w:t xml:space="preserve"> отсутствие у участника аукциона - физического лица либо у руководителя, членов коллегиального исполнительного органа, лица, исполняющего функции </w:t>
      </w:r>
      <w:r>
        <w:rPr>
          <w:rStyle w:val="CharStyle25"/>
          <w:spacing w:val="0"/>
        </w:rPr>
        <w:t>единоличного исполнительного органа, или главного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2" w:lineRule="exact"/>
      </w:pPr>
    </w:p>
    <w:p>
      <w:pPr>
        <w:widowControl w:val="0"/>
        <w:rPr>
          <w:sz w:val="2"/>
          <w:szCs w:val="2"/>
        </w:rPr>
        <w:sectPr>
          <w:type w:val="continuous"/>
          <w:pgSz w:w="16838" w:h="23810"/>
          <w:pgMar w:top="3130" w:left="3340" w:right="3340" w:bottom="3130" w:header="0" w:footer="3" w:gutter="0"/>
          <w:rtlGutter w:val="0"/>
          <w:cols w:space="720"/>
          <w:noEndnote/>
          <w:docGrid w:linePitch="360"/>
        </w:sectPr>
      </w:pPr>
    </w:p>
    <w:p>
      <w:pPr>
        <w:pStyle w:val="Style7"/>
        <w:tabs>
          <w:tab w:leader="none" w:pos="7019" w:val="left"/>
        </w:tabs>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бухгалтера юридического лица - участника аукциона судимости за преступления в сфере экономики и (или) преступления, предусмотренные статьями 289, 290, 291,</w:t>
      </w:r>
    </w:p>
    <w:p>
      <w:pPr>
        <w:pStyle w:val="Style7"/>
        <w:numPr>
          <w:ilvl w:val="0"/>
          <w:numId w:val="23"/>
        </w:numPr>
        <w:tabs>
          <w:tab w:leader="none" w:pos="7019" w:val="left"/>
          <w:tab w:leader="none" w:pos="4840" w:val="left"/>
        </w:tabs>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w:t>
        <w:tab/>
        <w:t>являющихся объектом</w:t>
      </w:r>
    </w:p>
    <w:p>
      <w:pPr>
        <w:pStyle w:val="Style7"/>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осуществляемой закупки, и административного наказания в виде дисквалификации;</w:t>
      </w:r>
    </w:p>
    <w:p>
      <w:pPr>
        <w:pStyle w:val="Style7"/>
        <w:numPr>
          <w:ilvl w:val="0"/>
          <w:numId w:val="25"/>
        </w:numPr>
        <w:tabs>
          <w:tab w:leader="none" w:pos="4687" w:val="left"/>
        </w:tabs>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участник аукциона - юридическое лицо, которое в течение двух лет до момента подачи заявки на участие в аукционе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7"/>
        <w:numPr>
          <w:ilvl w:val="0"/>
          <w:numId w:val="27"/>
        </w:numPr>
        <w:tabs>
          <w:tab w:leader="none" w:pos="6366" w:val="left"/>
          <w:tab w:leader="none" w:pos="9246" w:val="right"/>
        </w:tabs>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 xml:space="preserve"> отсутствие между участником аукциона и заказчиком, уполномоченным органом конфликта интересов, под которым понимаются случаи, при которых руководитель заказчика, член аукционной комиссии, руководитель контрактной службы заказчика, состоят в браке с физическими</w:t>
        <w:tab/>
        <w:t>лицами,</w:t>
        <w:tab/>
        <w:t>являющимися</w:t>
      </w:r>
    </w:p>
    <w:p>
      <w:pPr>
        <w:pStyle w:val="Style7"/>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аукциона, с физическими лицами, в том числе зарегистрированными в качестве индивидуального предпринимателя, участниками аукциона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7"/>
        <w:numPr>
          <w:ilvl w:val="0"/>
          <w:numId w:val="27"/>
        </w:numPr>
        <w:widowControl w:val="0"/>
        <w:keepNext w:val="0"/>
        <w:keepLines w:val="0"/>
        <w:shd w:val="clear" w:color="auto" w:fill="auto"/>
        <w:bidi w:val="0"/>
        <w:jc w:val="both"/>
        <w:spacing w:before="0" w:after="0" w:line="226" w:lineRule="exact"/>
        <w:ind w:left="4240" w:right="0" w:firstLine="0"/>
      </w:pPr>
      <w:r>
        <w:rPr>
          <w:lang w:val="ru-RU" w:eastAsia="ru-RU" w:bidi="ru-RU"/>
          <w:w w:val="100"/>
          <w:spacing w:val="0"/>
          <w:color w:val="000000"/>
          <w:position w:val="0"/>
        </w:rPr>
        <w:t xml:space="preserve"> участник аукциона не является офшорной компанией;</w:t>
      </w:r>
    </w:p>
    <w:p>
      <w:pPr>
        <w:pStyle w:val="Style7"/>
        <w:numPr>
          <w:ilvl w:val="0"/>
          <w:numId w:val="27"/>
        </w:numPr>
        <w:tabs>
          <w:tab w:leader="underscore" w:pos="9285" w:val="left"/>
        </w:tabs>
        <w:widowControl w:val="0"/>
        <w:keepNext w:val="0"/>
        <w:keepLines w:val="0"/>
        <w:shd w:val="clear" w:color="auto" w:fill="auto"/>
        <w:bidi w:val="0"/>
        <w:jc w:val="both"/>
        <w:spacing w:before="0" w:after="0" w:line="226" w:lineRule="exact"/>
        <w:ind w:left="4240" w:right="120" w:firstLine="0"/>
      </w:pPr>
      <w:r>
        <w:rPr>
          <w:lang w:val="ru-RU" w:eastAsia="ru-RU" w:bidi="ru-RU"/>
          <w:w w:val="100"/>
          <w:spacing w:val="0"/>
          <w:color w:val="000000"/>
          <w:position w:val="0"/>
        </w:rPr>
        <w:t xml:space="preserve"> </w:t>
      </w:r>
      <w:r>
        <w:rPr>
          <w:rStyle w:val="CharStyle22"/>
        </w:rPr>
        <w:t>отсутствие у участника закупки ограничений для</w:t>
      </w:r>
      <w:r>
        <w:rPr>
          <w:lang w:val="ru-RU" w:eastAsia="ru-RU" w:bidi="ru-RU"/>
          <w:w w:val="100"/>
          <w:spacing w:val="0"/>
          <w:color w:val="000000"/>
          <w:position w:val="0"/>
        </w:rPr>
        <w:t xml:space="preserve"> </w:t>
      </w:r>
      <w:r>
        <w:rPr>
          <w:rStyle w:val="CharStyle22"/>
        </w:rPr>
        <w:t>участия в закупках, установленных законодательством</w:t>
      </w:r>
      <w:r>
        <w:rPr>
          <w:lang w:val="ru-RU" w:eastAsia="ru-RU" w:bidi="ru-RU"/>
          <w:w w:val="100"/>
          <w:spacing w:val="0"/>
          <w:color w:val="000000"/>
          <w:position w:val="0"/>
        </w:rPr>
        <w:t xml:space="preserve"> </w:t>
      </w:r>
      <w:r>
        <w:rPr>
          <w:rStyle w:val="CharStyle22"/>
        </w:rPr>
        <w:t>Российской Федерации.</w:t>
      </w:r>
      <w:r>
        <w:rPr>
          <w:lang w:val="ru-RU" w:eastAsia="ru-RU" w:bidi="ru-RU"/>
          <w:w w:val="100"/>
          <w:spacing w:val="0"/>
          <w:color w:val="000000"/>
          <w:position w:val="0"/>
        </w:rPr>
        <w:tab/>
      </w:r>
    </w:p>
    <w:p>
      <w:pPr>
        <w:pStyle w:val="Style10"/>
        <w:widowControl w:val="0"/>
        <w:keepNext w:val="0"/>
        <w:keepLines w:val="0"/>
        <w:shd w:val="clear" w:color="auto" w:fill="auto"/>
        <w:bidi w:val="0"/>
        <w:jc w:val="both"/>
        <w:spacing w:before="0" w:after="0" w:line="288" w:lineRule="exact"/>
        <w:ind w:left="0" w:right="20" w:firstLine="700"/>
      </w:pPr>
      <w:r>
        <w:rPr>
          <w:lang w:val="ru-RU" w:eastAsia="ru-RU" w:bidi="ru-RU"/>
          <w:w w:val="100"/>
          <w:spacing w:val="0"/>
          <w:color w:val="000000"/>
          <w:position w:val="0"/>
        </w:rPr>
        <w:t>Таким образом, Заказчиком в аукционной документации установлено требование к участнику закупки о предоставлении во второй части заявки декларации того, что у него отсутствуют ограничения для участия в закупках, установленные законодательством Российской Федерации.</w:t>
      </w:r>
    </w:p>
    <w:p>
      <w:pPr>
        <w:pStyle w:val="Style10"/>
        <w:widowControl w:val="0"/>
        <w:keepNext w:val="0"/>
        <w:keepLines w:val="0"/>
        <w:shd w:val="clear" w:color="auto" w:fill="auto"/>
        <w:bidi w:val="0"/>
        <w:jc w:val="both"/>
        <w:spacing w:before="0" w:after="0" w:line="288" w:lineRule="exact"/>
        <w:ind w:left="0" w:right="20" w:firstLine="700"/>
      </w:pPr>
      <w:r>
        <w:rPr>
          <w:lang w:val="ru-RU" w:eastAsia="ru-RU" w:bidi="ru-RU"/>
          <w:w w:val="100"/>
          <w:spacing w:val="0"/>
          <w:color w:val="000000"/>
          <w:position w:val="0"/>
        </w:rPr>
        <w:t xml:space="preserve">Учитывая изложенное, действия Заказчика, установившего в документации об Аукционе излишнее требование к составу заявки участника закупки, а именно предоставление декларации о том, что у участника закупки отсутствуют ограничения для участия в закупках, установленные законодательством Российской Федерации, нарушают </w:t>
      </w:r>
      <w:r>
        <w:rPr>
          <w:rStyle w:val="CharStyle14"/>
        </w:rPr>
        <w:t>часть 6 статьи 66</w:t>
      </w:r>
      <w:r>
        <w:rPr>
          <w:lang w:val="ru-RU" w:eastAsia="ru-RU" w:bidi="ru-RU"/>
          <w:w w:val="100"/>
          <w:spacing w:val="0"/>
          <w:color w:val="000000"/>
          <w:position w:val="0"/>
        </w:rPr>
        <w:t xml:space="preserve"> Закона, что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 (далее - КоАП РФ).</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10"/>
        <w:numPr>
          <w:ilvl w:val="0"/>
          <w:numId w:val="17"/>
        </w:numPr>
        <w:tabs>
          <w:tab w:leader="none" w:pos="1316" w:val="left"/>
        </w:tabs>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4"/>
        </w:rPr>
        <w:t>частью 3 статьи 64</w:t>
      </w:r>
      <w:r>
        <w:rPr>
          <w:lang w:val="ru-RU" w:eastAsia="ru-RU" w:bidi="ru-RU"/>
          <w:w w:val="100"/>
          <w:spacing w:val="0"/>
          <w:color w:val="000000"/>
          <w:position w:val="0"/>
        </w:rPr>
        <w:t xml:space="preserve"> Закона документация об электронном аукционе наряду с предусмотренной </w:t>
      </w:r>
      <w:r>
        <w:rPr>
          <w:rStyle w:val="CharStyle14"/>
        </w:rPr>
        <w:t>частью 1 статьи 64</w:t>
      </w:r>
      <w:r>
        <w:rPr>
          <w:lang w:val="ru-RU" w:eastAsia="ru-RU" w:bidi="ru-RU"/>
          <w:w w:val="100"/>
          <w:spacing w:val="0"/>
          <w:color w:val="000000"/>
          <w:position w:val="0"/>
        </w:rPr>
        <w:t xml:space="preserve"> Закона информацией должна содержать требования к участникам такого аукциона, установленные в соответствии с </w:t>
      </w:r>
      <w:r>
        <w:rPr>
          <w:rStyle w:val="CharStyle14"/>
        </w:rPr>
        <w:t>частью 1</w:t>
      </w:r>
      <w:r>
        <w:rPr>
          <w:lang w:val="ru-RU" w:eastAsia="ru-RU" w:bidi="ru-RU"/>
          <w:w w:val="100"/>
          <w:spacing w:val="0"/>
          <w:color w:val="000000"/>
          <w:position w:val="0"/>
        </w:rPr>
        <w:t xml:space="preserve">. </w:t>
      </w:r>
      <w:r>
        <w:rPr>
          <w:rStyle w:val="CharStyle14"/>
        </w:rPr>
        <w:t>частями 1.1</w:t>
      </w:r>
      <w:r>
        <w:rPr>
          <w:lang w:val="ru-RU" w:eastAsia="ru-RU" w:bidi="ru-RU"/>
          <w:w w:val="100"/>
          <w:spacing w:val="0"/>
          <w:color w:val="000000"/>
          <w:position w:val="0"/>
        </w:rPr>
        <w:t xml:space="preserve">. 2 и </w:t>
      </w:r>
      <w:r>
        <w:rPr>
          <w:rStyle w:val="CharStyle14"/>
        </w:rPr>
        <w:t>2.1 (пои наличии таких</w:t>
      </w:r>
      <w:r>
        <w:rPr>
          <w:lang w:val="ru-RU" w:eastAsia="ru-RU" w:bidi="ru-RU"/>
          <w:w w:val="100"/>
          <w:spacing w:val="0"/>
          <w:color w:val="000000"/>
          <w:position w:val="0"/>
        </w:rPr>
        <w:t xml:space="preserve"> </w:t>
      </w:r>
      <w:r>
        <w:rPr>
          <w:rStyle w:val="CharStyle14"/>
        </w:rPr>
        <w:t>требований) статьи 31</w:t>
      </w:r>
      <w:r>
        <w:rPr>
          <w:lang w:val="ru-RU" w:eastAsia="ru-RU" w:bidi="ru-RU"/>
          <w:w w:val="100"/>
          <w:spacing w:val="0"/>
          <w:color w:val="000000"/>
          <w:position w:val="0"/>
        </w:rPr>
        <w:t xml:space="preserve"> Закона.</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Согласно </w:t>
      </w:r>
      <w:r>
        <w:rPr>
          <w:rStyle w:val="CharStyle14"/>
        </w:rPr>
        <w:t>части 2 статьи 31</w:t>
      </w:r>
      <w:r>
        <w:rPr>
          <w:lang w:val="ru-RU" w:eastAsia="ru-RU" w:bidi="ru-RU"/>
          <w:w w:val="100"/>
          <w:spacing w:val="0"/>
          <w:color w:val="000000"/>
          <w:position w:val="0"/>
        </w:rPr>
        <w:t xml:space="preserve">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шраниченным участием, закрытых двухэтапных конкурсов или аукционов, дополнительные требования.</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4"/>
        </w:rPr>
        <w:t>частью 4 статьи 31</w:t>
      </w:r>
      <w:r>
        <w:rPr>
          <w:lang w:val="ru-RU" w:eastAsia="ru-RU" w:bidi="ru-RU"/>
          <w:w w:val="100"/>
          <w:spacing w:val="0"/>
          <w:color w:val="000000"/>
          <w:position w:val="0"/>
        </w:rPr>
        <w:t xml:space="preserve"> Закона в случае установления Правительством Российской Федерации в соответствии с </w:t>
      </w:r>
      <w:r>
        <w:rPr>
          <w:rStyle w:val="CharStyle14"/>
        </w:rPr>
        <w:t>частью 2 статьи 31</w:t>
      </w:r>
      <w:r>
        <w:rPr>
          <w:lang w:val="ru-RU" w:eastAsia="ru-RU" w:bidi="ru-RU"/>
          <w:w w:val="100"/>
          <w:spacing w:val="0"/>
          <w:color w:val="000000"/>
          <w:position w:val="0"/>
        </w:rPr>
        <w:t xml:space="preserve">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Дополнительные требования к участникам закупки отдельных видов товаров, работ, услуг установлены </w:t>
      </w:r>
      <w:r>
        <w:rPr>
          <w:rStyle w:val="CharStyle14"/>
        </w:rPr>
        <w:t>постановлением</w:t>
      </w:r>
      <w:r>
        <w:rPr>
          <w:lang w:val="ru-RU" w:eastAsia="ru-RU" w:bidi="ru-RU"/>
          <w:w w:val="100"/>
          <w:spacing w:val="0"/>
          <w:color w:val="000000"/>
          <w:position w:val="0"/>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Соответствие участников закупки указанным требованиям подтверждается документами, предусмотренными Приложениями № 1 и </w:t>
      </w:r>
      <w:r>
        <w:rPr>
          <w:rStyle w:val="CharStyle14"/>
        </w:rPr>
        <w:t>№ 2</w:t>
      </w:r>
      <w:r>
        <w:rPr>
          <w:lang w:val="ru-RU" w:eastAsia="ru-RU" w:bidi="ru-RU"/>
          <w:w w:val="100"/>
          <w:spacing w:val="0"/>
          <w:color w:val="000000"/>
          <w:position w:val="0"/>
        </w:rPr>
        <w:t xml:space="preserve"> к Постановлению № 99.</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но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r>
        <w:rPr>
          <w:rStyle w:val="CharStyle14"/>
        </w:rPr>
        <w:t>законом</w:t>
      </w:r>
      <w:r>
        <w:rPr>
          <w:lang w:val="ru-RU" w:eastAsia="ru-RU" w:bidi="ru-RU"/>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или Федеральным </w:t>
      </w:r>
      <w:r>
        <w:rPr>
          <w:rStyle w:val="CharStyle14"/>
        </w:rPr>
        <w:t>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0"/>
        <w:widowControl w:val="0"/>
        <w:keepNext w:val="0"/>
        <w:keepLines w:val="0"/>
        <w:shd w:val="clear" w:color="auto" w:fill="auto"/>
        <w:bidi w:val="0"/>
        <w:jc w:val="both"/>
        <w:spacing w:before="0" w:after="0" w:line="293" w:lineRule="exact"/>
        <w:ind w:left="180" w:right="20" w:firstLine="700"/>
      </w:pPr>
      <w:r>
        <w:rPr>
          <w:lang w:val="ru-RU" w:eastAsia="ru-RU" w:bidi="ru-RU"/>
          <w:w w:val="100"/>
          <w:spacing w:val="0"/>
          <w:color w:val="000000"/>
          <w:position w:val="0"/>
        </w:rPr>
        <w:t xml:space="preserve">В соответствии с </w:t>
      </w:r>
      <w:r>
        <w:rPr>
          <w:rStyle w:val="CharStyle14"/>
        </w:rPr>
        <w:t>подпунктом 2 части 5 статьи 66</w:t>
      </w:r>
      <w:r>
        <w:rPr>
          <w:lang w:val="ru-RU" w:eastAsia="ru-RU" w:bidi="ru-RU"/>
          <w:w w:val="100"/>
          <w:spacing w:val="0"/>
          <w:color w:val="000000"/>
          <w:position w:val="0"/>
        </w:rPr>
        <w:t xml:space="preserve">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r>
        <w:rPr>
          <w:rStyle w:val="CharStyle14"/>
        </w:rPr>
        <w:t>пунктом 1 части 1 статьи 31</w:t>
      </w:r>
      <w:r>
        <w:rPr>
          <w:lang w:val="ru-RU" w:eastAsia="ru-RU" w:bidi="ru-RU"/>
          <w:w w:val="100"/>
          <w:spacing w:val="0"/>
          <w:color w:val="000000"/>
          <w:position w:val="0"/>
        </w:rPr>
        <w:t xml:space="preserve"> Закона, или копии этих документов, а также декларацию о соответствии участника такого аукциона требованиям, установленным </w:t>
      </w:r>
      <w:r>
        <w:rPr>
          <w:rStyle w:val="CharStyle14"/>
        </w:rPr>
        <w:t>пунктами 3</w:t>
      </w:r>
      <w:r>
        <w:rPr>
          <w:lang w:val="ru-RU" w:eastAsia="ru-RU" w:bidi="ru-RU"/>
          <w:w w:val="100"/>
          <w:spacing w:val="0"/>
          <w:color w:val="000000"/>
          <w:position w:val="0"/>
        </w:rPr>
        <w:t xml:space="preserve"> - </w:t>
      </w:r>
      <w:r>
        <w:rPr>
          <w:rStyle w:val="CharStyle14"/>
        </w:rPr>
        <w:t>9 части 1 статьи 31</w:t>
      </w:r>
      <w:r>
        <w:rPr>
          <w:lang w:val="ru-RU" w:eastAsia="ru-RU" w:bidi="ru-RU"/>
          <w:w w:val="100"/>
          <w:spacing w:val="0"/>
          <w:color w:val="000000"/>
          <w:position w:val="0"/>
        </w:rPr>
        <w:t xml:space="preserve"> Закона (указанная декларация представляется с использованием программно-аппаратных средств электронной площадки).</w:t>
      </w:r>
    </w:p>
    <w:p>
      <w:pPr>
        <w:pStyle w:val="Style10"/>
        <w:widowControl w:val="0"/>
        <w:keepNext w:val="0"/>
        <w:keepLines w:val="0"/>
        <w:shd w:val="clear" w:color="auto" w:fill="auto"/>
        <w:bidi w:val="0"/>
        <w:jc w:val="both"/>
        <w:spacing w:before="0" w:after="0" w:line="288" w:lineRule="exact"/>
        <w:ind w:left="180" w:right="20" w:firstLine="700"/>
      </w:pPr>
      <w:r>
        <w:rPr>
          <w:lang w:val="ru-RU" w:eastAsia="ru-RU" w:bidi="ru-RU"/>
          <w:w w:val="100"/>
          <w:spacing w:val="0"/>
          <w:color w:val="000000"/>
          <w:position w:val="0"/>
        </w:rPr>
        <w:t xml:space="preserve">Согласно </w:t>
      </w:r>
      <w:r>
        <w:rPr>
          <w:rStyle w:val="CharStyle14"/>
        </w:rPr>
        <w:t>части 8.2 статьи 66</w:t>
      </w:r>
      <w:r>
        <w:rPr>
          <w:lang w:val="ru-RU" w:eastAsia="ru-RU" w:bidi="ru-RU"/>
          <w:w w:val="100"/>
          <w:spacing w:val="0"/>
          <w:color w:val="000000"/>
          <w:position w:val="0"/>
        </w:rPr>
        <w:t xml:space="preserve">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r>
        <w:rPr>
          <w:rStyle w:val="CharStyle14"/>
        </w:rPr>
        <w:t>частями 2</w:t>
      </w:r>
      <w:r>
        <w:rPr>
          <w:lang w:val="ru-RU" w:eastAsia="ru-RU" w:bidi="ru-RU"/>
          <w:w w:val="100"/>
          <w:spacing w:val="0"/>
          <w:color w:val="000000"/>
          <w:position w:val="0"/>
        </w:rPr>
        <w:t xml:space="preserve"> и </w:t>
      </w:r>
      <w:r>
        <w:rPr>
          <w:rStyle w:val="CharStyle14"/>
        </w:rPr>
        <w:t>2.1 статьи 31</w:t>
      </w:r>
      <w:r>
        <w:rPr>
          <w:lang w:val="ru-RU" w:eastAsia="ru-RU" w:bidi="ru-RU"/>
          <w:w w:val="100"/>
          <w:spacing w:val="0"/>
          <w:color w:val="000000"/>
          <w:position w:val="0"/>
        </w:rPr>
        <w:t xml:space="preserve"> Закона, не </w:t>
      </w:r>
      <w:r>
        <w:rPr>
          <w:rStyle w:val="CharStyle14"/>
        </w:rPr>
        <w:t>включаются участником такого аукциона в состав второй части заявки. Такие</w:t>
      </w:r>
      <w:r>
        <w:rPr>
          <w:lang w:val="ru-RU" w:eastAsia="ru-RU" w:bidi="ru-RU"/>
          <w:w w:val="100"/>
          <w:spacing w:val="0"/>
          <w:color w:val="000000"/>
          <w:position w:val="0"/>
        </w:rPr>
        <w:t xml:space="preserve"> </w:t>
      </w:r>
      <w:r>
        <w:rPr>
          <w:rStyle w:val="CharStyle14"/>
        </w:rPr>
        <w:t>документы (их копии) направляются заказчику оператором электронной площадки</w:t>
      </w:r>
      <w:r>
        <w:rPr>
          <w:lang w:val="ru-RU" w:eastAsia="ru-RU" w:bidi="ru-RU"/>
          <w:w w:val="100"/>
          <w:spacing w:val="0"/>
          <w:color w:val="000000"/>
          <w:position w:val="0"/>
        </w:rPr>
        <w:t xml:space="preserve"> с использованием программно-аппаратных средств такой площадки в соответствии с </w:t>
      </w:r>
      <w:r>
        <w:rPr>
          <w:rStyle w:val="CharStyle14"/>
        </w:rPr>
        <w:t>частью 19 статьи 68</w:t>
      </w:r>
      <w:r>
        <w:rPr>
          <w:lang w:val="ru-RU" w:eastAsia="ru-RU" w:bidi="ru-RU"/>
          <w:w w:val="100"/>
          <w:spacing w:val="0"/>
          <w:color w:val="000000"/>
          <w:position w:val="0"/>
        </w:rPr>
        <w:t xml:space="preserve"> Закона одновременно со вторыми частями заявок на участие в таком аукционе из числа документов (их копий), размещенных в соответствии с </w:t>
      </w:r>
      <w:r>
        <w:rPr>
          <w:rStyle w:val="CharStyle14"/>
        </w:rPr>
        <w:t>частью 13 статьи 24.2</w:t>
      </w:r>
      <w:r>
        <w:rPr>
          <w:lang w:val="ru-RU" w:eastAsia="ru-RU" w:bidi="ru-RU"/>
          <w:w w:val="100"/>
          <w:spacing w:val="0"/>
          <w:color w:val="000000"/>
          <w:position w:val="0"/>
        </w:rPr>
        <w:t xml:space="preserve"> Закона в реестре участников закупок, аккредитованных на электронной площадке.</w:t>
      </w:r>
    </w:p>
    <w:p>
      <w:pPr>
        <w:pStyle w:val="Style10"/>
        <w:widowControl w:val="0"/>
        <w:keepNext w:val="0"/>
        <w:keepLines w:val="0"/>
        <w:shd w:val="clear" w:color="auto" w:fill="auto"/>
        <w:bidi w:val="0"/>
        <w:jc w:val="both"/>
        <w:spacing w:before="0" w:after="0" w:line="288" w:lineRule="exact"/>
        <w:ind w:left="180" w:right="20" w:firstLine="700"/>
      </w:pPr>
      <w:r>
        <w:rPr>
          <w:lang w:val="ru-RU" w:eastAsia="ru-RU" w:bidi="ru-RU"/>
          <w:w w:val="100"/>
          <w:spacing w:val="0"/>
          <w:color w:val="000000"/>
          <w:position w:val="0"/>
        </w:rPr>
        <w:t xml:space="preserve">В соответствии с </w:t>
      </w:r>
      <w:r>
        <w:rPr>
          <w:rStyle w:val="CharStyle14"/>
        </w:rPr>
        <w:t>пунктом 2 части 1 статьи 64</w:t>
      </w:r>
      <w:r>
        <w:rPr>
          <w:lang w:val="ru-RU" w:eastAsia="ru-RU" w:bidi="ru-RU"/>
          <w:w w:val="100"/>
          <w:spacing w:val="0"/>
          <w:color w:val="000000"/>
          <w:position w:val="0"/>
        </w:rPr>
        <w:t xml:space="preserve">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Pr>
          <w:rStyle w:val="CharStyle14"/>
        </w:rPr>
        <w:t>частями 3</w:t>
      </w:r>
      <w:r>
        <w:rPr>
          <w:lang w:val="ru-RU" w:eastAsia="ru-RU" w:bidi="ru-RU"/>
          <w:w w:val="100"/>
          <w:spacing w:val="0"/>
          <w:color w:val="000000"/>
          <w:position w:val="0"/>
        </w:rPr>
        <w:t xml:space="preserve"> - </w:t>
      </w:r>
      <w:r>
        <w:rPr>
          <w:rStyle w:val="CharStyle14"/>
        </w:rPr>
        <w:t>6 статьи 66</w:t>
      </w:r>
      <w:r>
        <w:rPr>
          <w:lang w:val="ru-RU" w:eastAsia="ru-RU" w:bidi="ru-RU"/>
          <w:w w:val="100"/>
          <w:spacing w:val="0"/>
          <w:color w:val="000000"/>
          <w:position w:val="0"/>
        </w:rPr>
        <w:t xml:space="preserve">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jc w:val="both"/>
        <w:spacing w:before="0" w:after="0" w:line="288" w:lineRule="exact"/>
        <w:ind w:left="180" w:right="20" w:firstLine="700"/>
      </w:pPr>
      <w:r>
        <w:rPr>
          <w:lang w:val="ru-RU" w:eastAsia="ru-RU" w:bidi="ru-RU"/>
          <w:w w:val="100"/>
          <w:spacing w:val="0"/>
          <w:color w:val="000000"/>
          <w:position w:val="0"/>
        </w:rPr>
        <w:t xml:space="preserve">Вышеуказанной нормой </w:t>
      </w:r>
      <w:r>
        <w:rPr>
          <w:rStyle w:val="CharStyle14"/>
        </w:rPr>
        <w:t>Закона</w:t>
      </w:r>
      <w:r>
        <w:rPr>
          <w:lang w:val="ru-RU" w:eastAsia="ru-RU" w:bidi="ru-RU"/>
          <w:w w:val="100"/>
          <w:spacing w:val="0"/>
          <w:color w:val="000000"/>
          <w:position w:val="0"/>
        </w:rPr>
        <w:t xml:space="preserve"> установлен исчерпывающий перечень документов, подлежащих представлению участниками закупок в составе своих заявок на участие в Аукционе в качестве подтверждения соответствия требованиям законодательства Российской Федерации о контрактной системе.</w:t>
      </w:r>
    </w:p>
    <w:p>
      <w:pPr>
        <w:pStyle w:val="Style10"/>
        <w:widowControl w:val="0"/>
        <w:keepNext w:val="0"/>
        <w:keepLines w:val="0"/>
        <w:shd w:val="clear" w:color="auto" w:fill="auto"/>
        <w:bidi w:val="0"/>
        <w:jc w:val="both"/>
        <w:spacing w:before="0" w:after="0" w:line="288" w:lineRule="exact"/>
        <w:ind w:left="180" w:right="20" w:firstLine="700"/>
      </w:pPr>
      <w:r>
        <w:rPr>
          <w:lang w:val="ru-RU" w:eastAsia="ru-RU" w:bidi="ru-RU"/>
          <w:w w:val="100"/>
          <w:spacing w:val="0"/>
          <w:color w:val="000000"/>
          <w:position w:val="0"/>
        </w:rPr>
        <w:t xml:space="preserve">Согласно </w:t>
      </w:r>
      <w:r>
        <w:rPr>
          <w:rStyle w:val="CharStyle14"/>
        </w:rPr>
        <w:t>части 6 статьи 66</w:t>
      </w:r>
      <w:r>
        <w:rPr>
          <w:lang w:val="ru-RU" w:eastAsia="ru-RU" w:bidi="ru-RU"/>
          <w:w w:val="100"/>
          <w:spacing w:val="0"/>
          <w:color w:val="000000"/>
          <w:position w:val="0"/>
        </w:rPr>
        <w:t xml:space="preserve"> Закона требовать от участника электронного аукциона представления иных документов и информации, за исключением предусмотренных </w:t>
      </w:r>
      <w:r>
        <w:rPr>
          <w:rStyle w:val="CharStyle14"/>
        </w:rPr>
        <w:t>частями 3</w:t>
      </w:r>
      <w:r>
        <w:rPr>
          <w:lang w:val="ru-RU" w:eastAsia="ru-RU" w:bidi="ru-RU"/>
          <w:w w:val="100"/>
          <w:spacing w:val="0"/>
          <w:color w:val="000000"/>
          <w:position w:val="0"/>
        </w:rPr>
        <w:t xml:space="preserve"> и </w:t>
      </w:r>
      <w:r>
        <w:rPr>
          <w:rStyle w:val="CharStyle14"/>
        </w:rPr>
        <w:t>5 статьи 66</w:t>
      </w:r>
      <w:r>
        <w:rPr>
          <w:lang w:val="ru-RU" w:eastAsia="ru-RU" w:bidi="ru-RU"/>
          <w:w w:val="100"/>
          <w:spacing w:val="0"/>
          <w:color w:val="000000"/>
          <w:position w:val="0"/>
        </w:rPr>
        <w:t xml:space="preserve"> Закона документов и информации, не допускается.</w:t>
      </w:r>
    </w:p>
    <w:p>
      <w:pPr>
        <w:pStyle w:val="Style26"/>
        <w:framePr w:w="9533" w:wrap="notBeside" w:vAnchor="text" w:hAnchor="text" w:xAlign="center" w:y="1"/>
        <w:tabs>
          <w:tab w:leader="underscore" w:pos="9355"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Подпунктом 5 пункта 18 Раздела II. Информационная карта аукциона документации об Аукционе установлены требования к содержанию, составу второй </w:t>
      </w:r>
      <w:r>
        <w:rPr>
          <w:rStyle w:val="CharStyle28"/>
        </w:rPr>
        <w:t>части заявки на участие в электронном аукционе:</w:t>
      </w:r>
      <w:r>
        <w:rPr>
          <w:lang w:val="ru-RU" w:eastAsia="ru-RU" w:bidi="ru-RU"/>
          <w:w w:val="100"/>
          <w:spacing w:val="0"/>
          <w:color w:val="000000"/>
          <w:position w:val="0"/>
        </w:rPr>
        <w:tab/>
      </w:r>
    </w:p>
    <w:tbl>
      <w:tblPr>
        <w:tblOverlap w:val="never"/>
        <w:tblLayout w:type="fixed"/>
        <w:jc w:val="center"/>
      </w:tblPr>
      <w:tblGrid>
        <w:gridCol w:w="590"/>
        <w:gridCol w:w="1421"/>
        <w:gridCol w:w="2275"/>
        <w:gridCol w:w="5246"/>
      </w:tblGrid>
      <w:tr>
        <w:trPr>
          <w:trHeight w:val="283" w:hRule="exact"/>
        </w:trPr>
        <w:tc>
          <w:tcPr>
            <w:shd w:val="clear" w:color="auto" w:fill="FFFFFF"/>
            <w:tcBorders>
              <w:left w:val="single" w:sz="4"/>
              <w:top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20"/>
              </w:rPr>
              <w:t>18.</w:t>
            </w:r>
          </w:p>
        </w:tc>
        <w:tc>
          <w:tcPr>
            <w:shd w:val="clear" w:color="auto" w:fill="FFFFFF"/>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Часть 11</w:t>
            </w:r>
          </w:p>
        </w:tc>
        <w:tc>
          <w:tcPr>
            <w:shd w:val="clear" w:color="auto" w:fill="FFFFFF"/>
            <w:tcBorders>
              <w:lef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Требования к</w:t>
            </w:r>
          </w:p>
        </w:tc>
        <w:tc>
          <w:tcPr>
            <w:shd w:val="clear" w:color="auto" w:fill="FFFFFF"/>
            <w:tcBorders>
              <w:left w:val="single" w:sz="4"/>
              <w:right w:val="single" w:sz="4"/>
              <w:top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Заявка на участие в аукционе состоит из двух частей:</w:t>
            </w:r>
          </w:p>
        </w:tc>
      </w:tr>
      <w:tr>
        <w:trPr>
          <w:trHeight w:val="23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содержанию, составу</w:t>
            </w:r>
          </w:p>
        </w:tc>
        <w:tc>
          <w:tcPr>
            <w:shd w:val="clear" w:color="auto" w:fill="FFFFFF"/>
            <w:tcBorders>
              <w:left w:val="single" w:sz="4"/>
              <w:right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1. Первая часть заявки на участие в аукционе должна</w:t>
            </w:r>
          </w:p>
        </w:tc>
      </w:tr>
      <w:tr>
        <w:trPr>
          <w:trHeight w:val="235"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заявки на участие в</w:t>
            </w: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содержать следующую информацию:</w:t>
            </w:r>
          </w:p>
        </w:tc>
      </w:tr>
      <w:tr>
        <w:trPr>
          <w:trHeight w:val="23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аукционе и инструкция</w:t>
            </w: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согласие участника закупки на выполнение работ на</w:t>
            </w:r>
          </w:p>
        </w:tc>
      </w:tr>
      <w:tr>
        <w:trPr>
          <w:trHeight w:val="235"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по ее заполнению</w:t>
            </w: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условиях, предусмотренных документацией об</w:t>
            </w:r>
          </w:p>
        </w:tc>
      </w:tr>
      <w:tr>
        <w:trPr>
          <w:trHeight w:val="226"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электронном аукционе (такое согласие дается с</w:t>
            </w:r>
          </w:p>
        </w:tc>
      </w:tr>
      <w:tr>
        <w:trPr>
          <w:trHeight w:val="216"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использованием программно-аппаратных средств</w:t>
            </w:r>
          </w:p>
        </w:tc>
      </w:tr>
      <w:tr>
        <w:trPr>
          <w:trHeight w:val="235"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электронной площадки).</w:t>
            </w:r>
          </w:p>
        </w:tc>
      </w:tr>
      <w:tr>
        <w:trPr>
          <w:trHeight w:val="221"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2. Вторая часть заявки на участие в аукционе должна</w:t>
            </w:r>
          </w:p>
        </w:tc>
      </w:tr>
      <w:tr>
        <w:trPr>
          <w:trHeight w:val="23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содержать следующие документы и информацию:</w:t>
            </w:r>
          </w:p>
        </w:tc>
      </w:tr>
      <w:tr>
        <w:trPr>
          <w:trHeight w:val="226"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1) наименование, фирменное наименование (при</w:t>
            </w:r>
          </w:p>
        </w:tc>
      </w:tr>
      <w:tr>
        <w:trPr>
          <w:trHeight w:val="24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наличии), место нахождения (для юридического лица),</w:t>
            </w:r>
          </w:p>
        </w:tc>
      </w:tr>
      <w:tr>
        <w:trPr>
          <w:trHeight w:val="235"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почтовый адрес участника такого аукциона, фамилия,</w:t>
            </w:r>
          </w:p>
        </w:tc>
      </w:tr>
      <w:tr>
        <w:trPr>
          <w:trHeight w:val="211"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имя, отчество (при наличии), паспортные данные, место</w:t>
            </w:r>
          </w:p>
        </w:tc>
      </w:tr>
      <w:tr>
        <w:trPr>
          <w:trHeight w:val="216"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жительства (для физического лица), номер контактного</w:t>
            </w:r>
          </w:p>
        </w:tc>
      </w:tr>
      <w:tr>
        <w:trPr>
          <w:trHeight w:val="24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телефона, идентификационный номер налогоплательщика</w:t>
            </w:r>
          </w:p>
        </w:tc>
      </w:tr>
      <w:tr>
        <w:trPr>
          <w:trHeight w:val="230" w:hRule="exact"/>
        </w:trPr>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участника аукциона или в соответствии с</w:t>
            </w:r>
          </w:p>
        </w:tc>
      </w:tr>
      <w:tr>
        <w:trPr>
          <w:trHeight w:val="221" w:hRule="exact"/>
        </w:trPr>
        <w:tc>
          <w:tcPr>
            <w:shd w:val="clear" w:color="auto" w:fill="FFFFFF"/>
            <w:tcBorders>
              <w:left w:val="single" w:sz="4"/>
              <w:bottom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533" w:wrap="notBeside" w:vAnchor="text" w:hAnchor="text" w:xAlign="center" w:y="1"/>
              <w:widowControl w:val="0"/>
              <w:rPr>
                <w:sz w:val="10"/>
                <w:szCs w:val="10"/>
              </w:rPr>
            </w:pPr>
          </w:p>
        </w:tc>
        <w:tc>
          <w:tcPr>
            <w:shd w:val="clear" w:color="auto" w:fill="FFFFFF"/>
            <w:tcBorders>
              <w:left w:val="single" w:sz="4"/>
              <w:right w:val="single" w:sz="4"/>
              <w:bottom w:val="single" w:sz="4"/>
            </w:tcBorders>
            <w:vAlign w:val="bottom"/>
          </w:tcPr>
          <w:p>
            <w:pPr>
              <w:pStyle w:val="Style10"/>
              <w:framePr w:w="9533"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законодательством соответствующего иностранного</w:t>
            </w:r>
          </w:p>
        </w:tc>
      </w:tr>
    </w:tbl>
    <w:p>
      <w:pPr>
        <w:widowControl w:val="0"/>
        <w:rPr>
          <w:sz w:val="2"/>
          <w:szCs w:val="2"/>
        </w:rPr>
      </w:pPr>
    </w:p>
    <w:p>
      <w:pPr>
        <w:widowControl w:val="0"/>
        <w:rPr>
          <w:sz w:val="2"/>
          <w:szCs w:val="2"/>
        </w:rPr>
        <w:sectPr>
          <w:pgSz w:w="16838" w:h="23810"/>
          <w:pgMar w:top="4478" w:left="3857" w:right="3439" w:bottom="4665" w:header="0" w:footer="3" w:gutter="0"/>
          <w:rtlGutter w:val="0"/>
          <w:cols w:space="720"/>
          <w:noEndnote/>
          <w:docGrid w:linePitch="360"/>
        </w:sectPr>
      </w:pP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8" w:line="235" w:lineRule="exact"/>
        <w:ind w:left="20" w:right="40" w:firstLine="0"/>
      </w:pPr>
      <w:r>
        <w:rPr>
          <w:lang w:val="ru-RU" w:eastAsia="ru-RU" w:bidi="ru-RU"/>
          <w:w w:val="100"/>
          <w:spacing w:val="0"/>
          <w:color w:val="000000"/>
          <w:position w:val="0"/>
        </w:rPr>
        <w:t>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pPr>
      <w:r>
        <w:rPr>
          <w:lang w:val="ru-RU" w:eastAsia="ru-RU" w:bidi="ru-RU"/>
          <w:w w:val="100"/>
          <w:spacing w:val="0"/>
          <w:color w:val="000000"/>
          <w:position w:val="0"/>
        </w:rPr>
        <w:t>Типовая форма заявки утверждена Постановлением Правительства РФ от 05.11.2019г. №1401).</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76" w:line="226" w:lineRule="exact"/>
        <w:ind w:left="20" w:right="40" w:firstLine="0"/>
      </w:pPr>
      <w:r>
        <w:rPr>
          <w:lang w:val="ru-RU" w:eastAsia="ru-RU" w:bidi="ru-RU"/>
          <w:w w:val="100"/>
          <w:spacing w:val="0"/>
          <w:color w:val="000000"/>
          <w:position w:val="0"/>
        </w:rPr>
        <w:t>Документация об аукционе не может содержать требования к оформлению и форме заявки на участие в аукционе. Приведенные в составе настоящей документации об аукционе образцы форм являются примерными и имеют рекомендательный характер.</w:t>
      </w:r>
    </w:p>
    <w:p>
      <w:pPr>
        <w:pStyle w:val="Style7"/>
        <w:numPr>
          <w:ilvl w:val="0"/>
          <w:numId w:val="29"/>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30" w:lineRule="exact"/>
        <w:ind w:left="20" w:right="40" w:firstLine="0"/>
      </w:pPr>
      <w:r>
        <w:rPr>
          <w:lang w:val="ru-RU" w:eastAsia="ru-RU" w:bidi="ru-RU"/>
          <w:w w:val="100"/>
          <w:spacing w:val="0"/>
          <w:color w:val="000000"/>
          <w:position w:val="0"/>
        </w:rPr>
        <w:t xml:space="preserve"> Копии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электронного аукциона:</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pPr>
      <w:r>
        <w:rPr>
          <w:lang w:val="ru-RU" w:eastAsia="ru-RU" w:bidi="ru-RU"/>
          <w:w w:val="100"/>
          <w:spacing w:val="0"/>
          <w:color w:val="000000"/>
          <w:position w:val="0"/>
        </w:rPr>
        <w:t>- копия действующей выписки из реестра членов саморегулируемой организации по форме, которая утверждена Приказом Ростехнадзора от 16.02.2017 № 58 «Об утверждении формы выписки из реестра членов саморегулируемой организации». Эта выписка должна быть выдана не ранее чем за один месяц до даты окончания срока подачи заявок, который указан в извещении об аукционе (согласно ч. 4, ст. 55.17 Градостроительного кодекса РФ).</w:t>
      </w:r>
    </w:p>
    <w:p>
      <w:pPr>
        <w:pStyle w:val="Style7"/>
        <w:numPr>
          <w:ilvl w:val="0"/>
          <w:numId w:val="29"/>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pPr>
      <w:r>
        <w:rPr>
          <w:lang w:val="ru-RU" w:eastAsia="ru-RU" w:bidi="ru-RU"/>
          <w:w w:val="100"/>
          <w:spacing w:val="0"/>
          <w:color w:val="000000"/>
          <w:position w:val="0"/>
        </w:rPr>
        <w:t xml:space="preserve"> декларацию о соответствии участника аукциона требованиям, установленным подпунктами 2-8 части 17 настоящей Информационной карты аукциона (указанная декларация предоставляется с использованием программно-аппаратных средств электронной площадки);</w:t>
      </w:r>
    </w:p>
    <w:p>
      <w:pPr>
        <w:pStyle w:val="Style7"/>
        <w:numPr>
          <w:ilvl w:val="0"/>
          <w:numId w:val="29"/>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аукционе, обеспечения исполнения контракта является крупной сделкой;</w:t>
      </w:r>
    </w:p>
    <w:p>
      <w:pPr>
        <w:pStyle w:val="Style7"/>
        <w:numPr>
          <w:ilvl w:val="0"/>
          <w:numId w:val="29"/>
        </w:numPr>
        <w:tabs>
          <w:tab w:leader="none" w:pos="2127"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pPr>
      <w:r>
        <w:rPr>
          <w:lang w:val="ru-RU" w:eastAsia="ru-RU" w:bidi="ru-RU"/>
          <w:w w:val="100"/>
          <w:spacing w:val="0"/>
          <w:color w:val="000000"/>
          <w:position w:val="0"/>
        </w:rPr>
        <w:t xml:space="preserve"> Согласно Постановлению Правительства РФ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w:t>
        <w:tab/>
        <w:t>высокотехнологичного или</w:t>
      </w:r>
    </w:p>
    <w:p>
      <w:pPr>
        <w:pStyle w:val="Style7"/>
        <w:tabs>
          <w:tab w:leader="underscore" w:pos="5079"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40" w:firstLine="0"/>
        <w:sectPr>
          <w:type w:val="continuous"/>
          <w:pgSz w:w="16838" w:h="23810"/>
          <w:pgMar w:top="4167" w:left="8148" w:right="3622" w:bottom="4373" w:header="0" w:footer="3" w:gutter="0"/>
          <w:rtlGutter w:val="0"/>
          <w:cols w:space="720"/>
          <w:noEndnote/>
          <w:docGrid w:linePitch="360"/>
        </w:sectPr>
      </w:pPr>
      <w:r>
        <w:rPr>
          <w:lang w:val="ru-RU" w:eastAsia="ru-RU" w:bidi="ru-RU"/>
          <w:w w:val="100"/>
          <w:spacing w:val="0"/>
          <w:color w:val="000000"/>
          <w:position w:val="0"/>
        </w:rPr>
        <w:t xml:space="preserve">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 действующей редакции) соответствие участника аукциона дополнительным требованиям должно подтверждаться </w:t>
      </w:r>
      <w:r>
        <w:rPr>
          <w:rStyle w:val="CharStyle22"/>
        </w:rPr>
        <w:t>следующими документами:</w:t>
      </w:r>
      <w:r>
        <w:rPr>
          <w:lang w:val="ru-RU" w:eastAsia="ru-RU" w:bidi="ru-RU"/>
          <w:w w:val="100"/>
          <w:spacing w:val="0"/>
          <w:color w:val="000000"/>
          <w:position w:val="0"/>
        </w:rPr>
        <w:tab/>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0" w:line="226" w:lineRule="exact"/>
        <w:ind w:left="4260" w:right="120" w:firstLine="0"/>
      </w:pPr>
      <w:r>
        <w:rPr>
          <w:lang w:val="ru-RU" w:eastAsia="ru-RU" w:bidi="ru-RU"/>
          <w:w w:val="100"/>
          <w:spacing w:val="0"/>
          <w:color w:val="000000"/>
          <w:position w:val="0"/>
        </w:rPr>
        <w:t>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73" w:line="226" w:lineRule="exact"/>
        <w:ind w:left="4260" w:right="120" w:firstLine="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8" w:line="235" w:lineRule="exact"/>
        <w:ind w:left="4260" w:right="120" w:firstLine="0"/>
      </w:pPr>
      <w:r>
        <w:rPr>
          <w:lang w:val="ru-RU" w:eastAsia="ru-RU" w:bidi="ru-RU"/>
          <w:w w:val="100"/>
          <w:spacing w:val="0"/>
          <w:color w:val="000000"/>
          <w:position w:val="0"/>
        </w:rPr>
        <w:t>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0" w:line="226" w:lineRule="exact"/>
        <w:ind w:left="4260" w:right="120" w:firstLine="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4260" w:right="120" w:firstLine="0"/>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4" w:line="226" w:lineRule="exact"/>
        <w:ind w:left="4260" w:right="120" w:firstLine="0"/>
      </w:pPr>
      <w:r>
        <w:rPr>
          <w:lang w:val="ru-RU" w:eastAsia="ru-RU" w:bidi="ru-RU"/>
          <w:w w:val="100"/>
          <w:spacing w:val="0"/>
          <w:color w:val="000000"/>
          <w:position w:val="0"/>
        </w:rPr>
        <w:t>6. декларацию о принадлежности участника аукциона к субъектам малого предпринимательства или социально ориентированным некоммерческим организациям в соответствии с пунктом 11.8 части 11 настоящей документации об аукционе (указанная декларация предоставляется с использованием программно</w:t>
        <w:softHyphen/>
        <w:t>аппаратных средств электронной площадки).</w:t>
      </w:r>
    </w:p>
    <w:p>
      <w:pPr>
        <w:pStyle w:val="Style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726" w:line="221" w:lineRule="exact"/>
        <w:ind w:left="4260" w:right="120" w:firstLine="0"/>
      </w:pPr>
      <w:r>
        <w:rPr>
          <w:lang w:val="ru-RU" w:eastAsia="ru-RU" w:bidi="ru-RU"/>
          <w:w w:val="100"/>
          <w:spacing w:val="0"/>
          <w:color w:val="000000"/>
          <w:position w:val="0"/>
        </w:rPr>
        <w:t>Типовая форма заявки утверждена Постановлением Правительства РФ от 05.11.2019г. №1401.</w:t>
      </w:r>
    </w:p>
    <w:p>
      <w:pPr>
        <w:pStyle w:val="Style10"/>
        <w:tabs>
          <w:tab w:leader="none" w:pos="7249" w:val="left"/>
        </w:tabs>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Таким образом, Комиссия Орловского У ФАС России приходит к выводу, что действия Заказчика по установлению в аукционной документации требования о предоставлении участником закупки во второй части заявки документов, предусмотренных постановлением Правительства №</w:t>
        <w:tab/>
        <w:t>99, противоречат</w:t>
      </w:r>
    </w:p>
    <w:p>
      <w:pPr>
        <w:pStyle w:val="Style10"/>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 xml:space="preserve">требованиям </w:t>
      </w:r>
      <w:r>
        <w:rPr>
          <w:rStyle w:val="CharStyle14"/>
        </w:rPr>
        <w:t>части 8.2 статьи 66</w:t>
      </w:r>
      <w:r>
        <w:rPr>
          <w:lang w:val="ru-RU" w:eastAsia="ru-RU" w:bidi="ru-RU"/>
          <w:w w:val="100"/>
          <w:spacing w:val="0"/>
          <w:color w:val="000000"/>
          <w:position w:val="0"/>
        </w:rPr>
        <w:t xml:space="preserve"> Закона, в связи с чем, усматривает нарушение в действиях Заказчика </w:t>
      </w:r>
      <w:r>
        <w:rPr>
          <w:rStyle w:val="CharStyle14"/>
        </w:rPr>
        <w:t>части 6 статьи 66</w:t>
      </w:r>
      <w:r>
        <w:rPr>
          <w:lang w:val="ru-RU" w:eastAsia="ru-RU" w:bidi="ru-RU"/>
          <w:w w:val="100"/>
          <w:spacing w:val="0"/>
          <w:color w:val="000000"/>
          <w:position w:val="0"/>
        </w:rPr>
        <w:t xml:space="preserve"> Закона, что содержит признаки административного правонарушения, ответственность за которое предусмотрена частью 4.2 статьи 7.30 КоАП РФ.</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10"/>
        <w:numPr>
          <w:ilvl w:val="0"/>
          <w:numId w:val="17"/>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Согласно части 3 статьи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w:t>
      </w:r>
      <w:r>
        <w:rPr>
          <w:rStyle w:val="CharStyle14"/>
        </w:rPr>
        <w:t>срок действия банковской гарантии должен превышать</w:t>
      </w:r>
      <w:r>
        <w:rPr>
          <w:lang w:val="ru-RU" w:eastAsia="ru-RU" w:bidi="ru-RU"/>
          <w:w w:val="100"/>
          <w:spacing w:val="0"/>
          <w:color w:val="000000"/>
          <w:position w:val="0"/>
        </w:rPr>
        <w:t xml:space="preserve"> предусмотренный контрактом </w:t>
      </w:r>
      <w:r>
        <w:rPr>
          <w:rStyle w:val="CharStyle14"/>
        </w:rPr>
        <w:t>срок исполнения обязательств</w:t>
      </w:r>
      <w:r>
        <w:rPr>
          <w:lang w:val="ru-RU" w:eastAsia="ru-RU" w:bidi="ru-RU"/>
          <w:w w:val="100"/>
          <w:spacing w:val="0"/>
          <w:color w:val="000000"/>
          <w:position w:val="0"/>
        </w:rPr>
        <w:t>,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В пункте 14.2 Проекта контракта установлено:</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«Предоставляемая банковская гарантия должна быть безотзывной и должна содержать:</w:t>
      </w:r>
    </w:p>
    <w:p>
      <w:pPr>
        <w:pStyle w:val="Style10"/>
        <w:numPr>
          <w:ilvl w:val="0"/>
          <w:numId w:val="31"/>
        </w:numPr>
        <w:tabs>
          <w:tab w:leader="none" w:pos="1067" w:val="left"/>
        </w:tabs>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срок действия банковской гарантии, который должен превышать </w:t>
      </w:r>
      <w:r>
        <w:rPr>
          <w:rStyle w:val="CharStyle14"/>
        </w:rPr>
        <w:t>срок</w:t>
      </w:r>
      <w:r>
        <w:rPr>
          <w:lang w:val="ru-RU" w:eastAsia="ru-RU" w:bidi="ru-RU"/>
          <w:w w:val="100"/>
          <w:spacing w:val="0"/>
          <w:color w:val="000000"/>
          <w:position w:val="0"/>
        </w:rPr>
        <w:t xml:space="preserve"> </w:t>
      </w:r>
      <w:r>
        <w:rPr>
          <w:rStyle w:val="CharStyle14"/>
        </w:rPr>
        <w:t>действия Контракта</w:t>
      </w:r>
      <w:r>
        <w:rPr>
          <w:lang w:val="ru-RU" w:eastAsia="ru-RU" w:bidi="ru-RU"/>
          <w:w w:val="100"/>
          <w:spacing w:val="0"/>
          <w:color w:val="000000"/>
          <w:position w:val="0"/>
        </w:rPr>
        <w:t xml:space="preserve"> не менее чем на один месяц».</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Поскольку Заказчик в проекте контракта указывает, что срок действия банковской гарантии должен превышать срок действия контракта, Заказчиком нарушены требования </w:t>
      </w:r>
      <w:r>
        <w:rPr>
          <w:rStyle w:val="CharStyle14"/>
        </w:rPr>
        <w:t>части 3 статьи 96</w:t>
      </w:r>
      <w:r>
        <w:rPr>
          <w:lang w:val="ru-RU" w:eastAsia="ru-RU" w:bidi="ru-RU"/>
          <w:w w:val="100"/>
          <w:spacing w:val="0"/>
          <w:color w:val="000000"/>
          <w:position w:val="0"/>
        </w:rPr>
        <w:t xml:space="preserve"> Закона.</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данных действиях Заказчика содержатся признаки состава административного правонарушения, предусмотренного </w:t>
      </w:r>
      <w:r>
        <w:rPr>
          <w:rStyle w:val="CharStyle14"/>
        </w:rPr>
        <w:t>частью 4.2 статьи 7.30</w:t>
      </w:r>
      <w:r>
        <w:rPr>
          <w:lang w:val="ru-RU" w:eastAsia="ru-RU" w:bidi="ru-RU"/>
          <w:w w:val="100"/>
          <w:spacing w:val="0"/>
          <w:color w:val="000000"/>
          <w:position w:val="0"/>
        </w:rPr>
        <w:t xml:space="preserve"> Ко АП РФ.</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10"/>
        <w:numPr>
          <w:ilvl w:val="0"/>
          <w:numId w:val="17"/>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Согласно части 30 статьи 34 Закона, если заказчиком в соответствии с </w:t>
      </w:r>
      <w:r>
        <w:rPr>
          <w:rStyle w:val="CharStyle14"/>
        </w:rPr>
        <w:t>частью 1 статьи 96</w:t>
      </w:r>
      <w:r>
        <w:rPr>
          <w:lang w:val="ru-RU" w:eastAsia="ru-RU" w:bidi="ru-RU"/>
          <w:w w:val="100"/>
          <w:spacing w:val="0"/>
          <w:color w:val="000000"/>
          <w:position w:val="0"/>
        </w:rPr>
        <w:t xml:space="preserve"> настоящего Федерального закона установлено требование обеспечения исполнения контракта, в контракт </w:t>
      </w:r>
      <w:r>
        <w:rPr>
          <w:rStyle w:val="CharStyle14"/>
        </w:rPr>
        <w:t>включается обязательство</w:t>
      </w:r>
      <w:r>
        <w:rPr>
          <w:lang w:val="ru-RU" w:eastAsia="ru-RU" w:bidi="ru-RU"/>
          <w:w w:val="100"/>
          <w:spacing w:val="0"/>
          <w:color w:val="000000"/>
          <w:position w:val="0"/>
        </w:rPr>
        <w:t xml:space="preserve"> </w:t>
      </w:r>
      <w:r>
        <w:rPr>
          <w:rStyle w:val="CharStyle14"/>
        </w:rPr>
        <w:t>поставщика (подрядчика, исполнителя) в случае отзыва</w:t>
      </w:r>
      <w:r>
        <w:rPr>
          <w:lang w:val="ru-RU" w:eastAsia="ru-RU" w:bidi="ru-RU"/>
          <w:w w:val="100"/>
          <w:spacing w:val="0"/>
          <w:color w:val="000000"/>
          <w:position w:val="0"/>
        </w:rPr>
        <w:t xml:space="preserve"> в соответствии с </w:t>
      </w:r>
      <w:r>
        <w:rPr>
          <w:rStyle w:val="CharStyle14"/>
        </w:rPr>
        <w:t>законодательством</w:t>
      </w:r>
      <w:r>
        <w:rPr>
          <w:lang w:val="ru-RU" w:eastAsia="ru-RU" w:bidi="ru-RU"/>
          <w:w w:val="100"/>
          <w:spacing w:val="0"/>
          <w:color w:val="000000"/>
          <w:position w:val="0"/>
        </w:rPr>
        <w:t xml:space="preserve"> Российской Федерации </w:t>
      </w:r>
      <w:r>
        <w:rPr>
          <w:rStyle w:val="CharStyle14"/>
        </w:rPr>
        <w:t>у банка</w:t>
      </w:r>
      <w:r>
        <w:rPr>
          <w:lang w:val="ru-RU" w:eastAsia="ru-RU" w:bidi="ru-RU"/>
          <w:w w:val="100"/>
          <w:spacing w:val="0"/>
          <w:color w:val="000000"/>
          <w:position w:val="0"/>
        </w:rPr>
        <w:t xml:space="preserve">, предоставившего банковскую гарантию в качестве обеспечения исполнения контракта, </w:t>
      </w:r>
      <w:r>
        <w:rPr>
          <w:rStyle w:val="CharStyle14"/>
        </w:rPr>
        <w:t>лицензии</w:t>
      </w:r>
      <w:r>
        <w:rPr>
          <w:lang w:val="ru-RU" w:eastAsia="ru-RU" w:bidi="ru-RU"/>
          <w:w w:val="100"/>
          <w:spacing w:val="0"/>
          <w:color w:val="000000"/>
          <w:position w:val="0"/>
        </w:rPr>
        <w:t xml:space="preserve"> на осуществление банковских операций </w:t>
      </w:r>
      <w:r>
        <w:rPr>
          <w:rStyle w:val="CharStyle14"/>
        </w:rPr>
        <w:t>предоставить новое обеспечение исполнения</w:t>
      </w:r>
      <w:r>
        <w:rPr>
          <w:lang w:val="ru-RU" w:eastAsia="ru-RU" w:bidi="ru-RU"/>
          <w:w w:val="100"/>
          <w:spacing w:val="0"/>
          <w:color w:val="000000"/>
          <w:position w:val="0"/>
        </w:rPr>
        <w:t xml:space="preserve"> </w:t>
      </w:r>
      <w:r>
        <w:rPr>
          <w:rStyle w:val="CharStyle14"/>
        </w:rPr>
        <w:t>контракта не позднее одного месяца со дня надлежащего уведомления заказчиком</w:t>
      </w:r>
      <w:r>
        <w:rPr>
          <w:lang w:val="ru-RU" w:eastAsia="ru-RU" w:bidi="ru-RU"/>
          <w:w w:val="100"/>
          <w:spacing w:val="0"/>
          <w:color w:val="000000"/>
          <w:position w:val="0"/>
        </w:rPr>
        <w:t xml:space="preserve"> </w:t>
      </w:r>
      <w:r>
        <w:rPr>
          <w:rStyle w:val="CharStyle14"/>
        </w:rPr>
        <w:t>поставщика</w:t>
      </w:r>
      <w:r>
        <w:rPr>
          <w:lang w:val="ru-RU" w:eastAsia="ru-RU" w:bidi="ru-RU"/>
          <w:w w:val="100"/>
          <w:spacing w:val="0"/>
          <w:color w:val="000000"/>
          <w:position w:val="0"/>
        </w:rPr>
        <w:t xml:space="preserve"> (подрядчика. исполнителя) </w:t>
      </w:r>
      <w:r>
        <w:rPr>
          <w:rStyle w:val="CharStyle14"/>
        </w:rPr>
        <w:t>о необходимости предоставить</w:t>
      </w:r>
      <w:r>
        <w:rPr>
          <w:lang w:val="ru-RU" w:eastAsia="ru-RU" w:bidi="ru-RU"/>
          <w:w w:val="100"/>
          <w:spacing w:val="0"/>
          <w:color w:val="000000"/>
          <w:position w:val="0"/>
        </w:rPr>
        <w:t xml:space="preserve"> </w:t>
      </w:r>
      <w:r>
        <w:rPr>
          <w:rStyle w:val="CharStyle14"/>
        </w:rPr>
        <w:t>соответствующее обеспечение</w:t>
      </w:r>
      <w:r>
        <w:rPr>
          <w:lang w:val="ru-RU" w:eastAsia="ru-RU" w:bidi="ru-RU"/>
          <w:w w:val="100"/>
          <w:spacing w:val="0"/>
          <w:color w:val="000000"/>
          <w:position w:val="0"/>
        </w:rPr>
        <w:t xml:space="preserve">. Размер такого обеспечения может быть уменьшен в порядке и случаях, которые предусмотрены </w:t>
      </w:r>
      <w:r>
        <w:rPr>
          <w:rStyle w:val="CharStyle14"/>
        </w:rPr>
        <w:t>частями 7</w:t>
      </w:r>
      <w:r>
        <w:rPr>
          <w:lang w:val="ru-RU" w:eastAsia="ru-RU" w:bidi="ru-RU"/>
          <w:w w:val="100"/>
          <w:spacing w:val="0"/>
          <w:color w:val="000000"/>
          <w:position w:val="0"/>
        </w:rPr>
        <w:t xml:space="preserve">, </w:t>
      </w:r>
      <w:r>
        <w:rPr>
          <w:rStyle w:val="CharStyle14"/>
        </w:rPr>
        <w:t>7.1</w:t>
      </w:r>
      <w:r>
        <w:rPr>
          <w:lang w:val="ru-RU" w:eastAsia="ru-RU" w:bidi="ru-RU"/>
          <w:w w:val="100"/>
          <w:spacing w:val="0"/>
          <w:color w:val="000000"/>
          <w:position w:val="0"/>
        </w:rPr>
        <w:t xml:space="preserve">, </w:t>
      </w:r>
      <w:r>
        <w:rPr>
          <w:rStyle w:val="CharStyle14"/>
        </w:rPr>
        <w:t>7.2</w:t>
      </w:r>
      <w:r>
        <w:rPr>
          <w:lang w:val="ru-RU" w:eastAsia="ru-RU" w:bidi="ru-RU"/>
          <w:w w:val="100"/>
          <w:spacing w:val="0"/>
          <w:color w:val="000000"/>
          <w:position w:val="0"/>
        </w:rPr>
        <w:t xml:space="preserve"> и </w:t>
      </w:r>
      <w:r>
        <w:rPr>
          <w:rStyle w:val="CharStyle14"/>
        </w:rPr>
        <w:t>7.3 статьи 96</w:t>
      </w:r>
      <w:r>
        <w:rPr>
          <w:lang w:val="ru-RU" w:eastAsia="ru-RU" w:bidi="ru-RU"/>
          <w:w w:val="100"/>
          <w:spacing w:val="0"/>
          <w:color w:val="000000"/>
          <w:position w:val="0"/>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r>
        <w:rPr>
          <w:rStyle w:val="CharStyle14"/>
        </w:rPr>
        <w:t>частью 7</w:t>
      </w:r>
      <w:r>
        <w:rPr>
          <w:lang w:val="ru-RU" w:eastAsia="ru-RU" w:bidi="ru-RU"/>
          <w:w w:val="100"/>
          <w:spacing w:val="0"/>
          <w:color w:val="000000"/>
          <w:position w:val="0"/>
        </w:rPr>
        <w:t xml:space="preserve"> настоящей статьи.</w:t>
      </w:r>
    </w:p>
    <w:p>
      <w:pPr>
        <w:pStyle w:val="Style10"/>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В пункте 14.4 Проекта контракта установлено:</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«14.4. </w:t>
      </w:r>
      <w:r>
        <w:rPr>
          <w:rStyle w:val="CharStyle14"/>
        </w:rPr>
        <w:t>В случае</w:t>
      </w:r>
      <w:r>
        <w:rPr>
          <w:lang w:val="ru-RU" w:eastAsia="ru-RU" w:bidi="ru-RU"/>
          <w:w w:val="100"/>
          <w:spacing w:val="0"/>
          <w:color w:val="000000"/>
          <w:position w:val="0"/>
        </w:rPr>
        <w:t xml:space="preserve">, если после заключения Контракта </w:t>
      </w:r>
      <w:r>
        <w:rPr>
          <w:rStyle w:val="CharStyle14"/>
        </w:rPr>
        <w:t>у банка</w:t>
      </w:r>
      <w:r>
        <w:rPr>
          <w:lang w:val="ru-RU" w:eastAsia="ru-RU" w:bidi="ru-RU"/>
          <w:w w:val="100"/>
          <w:spacing w:val="0"/>
          <w:color w:val="000000"/>
          <w:position w:val="0"/>
        </w:rPr>
        <w:t xml:space="preserve">, выдавшего банковскую гарантию в обеспечение исполнения Контракта, </w:t>
      </w:r>
      <w:r>
        <w:rPr>
          <w:rStyle w:val="CharStyle14"/>
        </w:rPr>
        <w:t>отозвана лицензия</w:t>
      </w:r>
      <w:r>
        <w:rPr>
          <w:lang w:val="ru-RU" w:eastAsia="ru-RU" w:bidi="ru-RU"/>
          <w:w w:val="100"/>
          <w:spacing w:val="0"/>
          <w:color w:val="000000"/>
          <w:position w:val="0"/>
        </w:rPr>
        <w:t xml:space="preserve"> на ведение банковской деятельности, </w:t>
      </w:r>
      <w:r>
        <w:rPr>
          <w:rStyle w:val="CharStyle14"/>
        </w:rPr>
        <w:t>Подрядчик обязан в течение 5 (пяти) рабочих</w:t>
      </w:r>
      <w:r>
        <w:rPr>
          <w:lang w:val="ru-RU" w:eastAsia="ru-RU" w:bidi="ru-RU"/>
          <w:w w:val="100"/>
          <w:spacing w:val="0"/>
          <w:color w:val="000000"/>
          <w:position w:val="0"/>
        </w:rPr>
        <w:t xml:space="preserve"> дней предоставить новое обеспечение исполнения Контракта».</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Таким образом, проект контракта документации об Аукционе не содержит обязательных условий, предусмотренных </w:t>
      </w:r>
      <w:r>
        <w:rPr>
          <w:rStyle w:val="CharStyle14"/>
        </w:rPr>
        <w:t>частью 30 статьи 34</w:t>
      </w:r>
      <w:r>
        <w:rPr>
          <w:lang w:val="ru-RU" w:eastAsia="ru-RU" w:bidi="ru-RU"/>
          <w:w w:val="100"/>
          <w:spacing w:val="0"/>
          <w:color w:val="000000"/>
          <w:position w:val="0"/>
        </w:rPr>
        <w:t xml:space="preserve"> Закона.</w:t>
      </w:r>
    </w:p>
    <w:p>
      <w:pPr>
        <w:pStyle w:val="Style10"/>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Учитывая вышеизложенное Комиссия приходит к выводу, что действия Заказчика не соответствуют части 30 статьи 34 Закона и содержат признаки состава</w:t>
      </w:r>
    </w:p>
    <w:p>
      <w:pPr>
        <w:pStyle w:val="Style10"/>
        <w:widowControl w:val="0"/>
        <w:keepNext w:val="0"/>
        <w:keepLines w:val="0"/>
        <w:shd w:val="clear" w:color="auto" w:fill="auto"/>
        <w:bidi w:val="0"/>
        <w:jc w:val="both"/>
        <w:spacing w:before="0" w:after="0" w:line="312" w:lineRule="exact"/>
        <w:ind w:left="380" w:right="20" w:firstLine="0"/>
      </w:pPr>
      <w:r>
        <w:rPr>
          <w:lang w:val="ru-RU" w:eastAsia="ru-RU" w:bidi="ru-RU"/>
          <w:w w:val="100"/>
          <w:spacing w:val="0"/>
          <w:color w:val="000000"/>
          <w:position w:val="0"/>
        </w:rPr>
        <w:t>административного правонарушения, предусмотренного частью 4.2 статьи 7.30 КоАП РФ.</w:t>
      </w:r>
    </w:p>
    <w:p>
      <w:pPr>
        <w:pStyle w:val="Style10"/>
        <w:widowControl w:val="0"/>
        <w:keepNext w:val="0"/>
        <w:keepLines w:val="0"/>
        <w:shd w:val="clear" w:color="auto" w:fill="auto"/>
        <w:bidi w:val="0"/>
        <w:jc w:val="left"/>
        <w:spacing w:before="0" w:after="267" w:line="312" w:lineRule="exact"/>
        <w:ind w:left="38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10"/>
        <w:widowControl w:val="0"/>
        <w:keepNext w:val="0"/>
        <w:keepLines w:val="0"/>
        <w:shd w:val="clear" w:color="auto" w:fill="auto"/>
        <w:bidi w:val="0"/>
        <w:jc w:val="left"/>
        <w:spacing w:before="0" w:after="0" w:line="278" w:lineRule="exact"/>
        <w:ind w:left="380" w:right="20" w:firstLine="700"/>
      </w:pPr>
      <w:r>
        <w:rPr>
          <w:lang w:val="ru-RU" w:eastAsia="ru-RU" w:bidi="ru-RU"/>
          <w:w w:val="100"/>
          <w:spacing w:val="0"/>
          <w:color w:val="000000"/>
          <w:position w:val="0"/>
        </w:rPr>
        <w:t>Таким образом, на основании вышеизложенного и, руководствуясь пунктом статьей 105 Закона, пунктом 3.16 Административного регламента, Комиссия</w:t>
      </w:r>
    </w:p>
    <w:p>
      <w:pPr>
        <w:pStyle w:val="Style29"/>
        <w:widowControl w:val="0"/>
        <w:keepNext/>
        <w:keepLines/>
        <w:shd w:val="clear" w:color="auto" w:fill="auto"/>
        <w:bidi w:val="0"/>
        <w:jc w:val="left"/>
        <w:spacing w:before="0" w:after="0"/>
        <w:ind w:left="4660" w:right="0" w:firstLine="0"/>
      </w:pPr>
      <w:bookmarkStart w:id="0" w:name="bookmark0"/>
      <w:r>
        <w:rPr>
          <w:lang w:val="ru-RU" w:eastAsia="ru-RU" w:bidi="ru-RU"/>
          <w:w w:val="100"/>
          <w:color w:val="000000"/>
          <w:position w:val="0"/>
        </w:rPr>
        <w:t>РЕШИЛА:</w:t>
      </w:r>
      <w:bookmarkEnd w:id="0"/>
    </w:p>
    <w:p>
      <w:pPr>
        <w:pStyle w:val="Style10"/>
        <w:numPr>
          <w:ilvl w:val="0"/>
          <w:numId w:val="33"/>
        </w:numPr>
        <w:widowControl w:val="0"/>
        <w:keepNext w:val="0"/>
        <w:keepLines w:val="0"/>
        <w:shd w:val="clear" w:color="auto" w:fill="auto"/>
        <w:bidi w:val="0"/>
        <w:jc w:val="left"/>
        <w:spacing w:before="0" w:after="0" w:line="278" w:lineRule="exact"/>
        <w:ind w:left="0" w:right="0" w:firstLine="940"/>
      </w:pPr>
      <w:r>
        <w:rPr>
          <w:lang w:val="ru-RU" w:eastAsia="ru-RU" w:bidi="ru-RU"/>
          <w:w w:val="100"/>
          <w:spacing w:val="0"/>
          <w:color w:val="000000"/>
          <w:position w:val="0"/>
        </w:rPr>
        <w:t xml:space="preserve"> Жалобу ООО «Контракт» признать обоснованной.</w:t>
      </w:r>
    </w:p>
    <w:p>
      <w:pPr>
        <w:pStyle w:val="Style10"/>
        <w:numPr>
          <w:ilvl w:val="0"/>
          <w:numId w:val="33"/>
        </w:numPr>
        <w:widowControl w:val="0"/>
        <w:keepNext w:val="0"/>
        <w:keepLines w:val="0"/>
        <w:shd w:val="clear" w:color="auto" w:fill="auto"/>
        <w:bidi w:val="0"/>
        <w:jc w:val="left"/>
        <w:spacing w:before="0" w:after="0" w:line="278" w:lineRule="exact"/>
        <w:ind w:left="0" w:right="0" w:firstLine="94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10"/>
        <w:numPr>
          <w:ilvl w:val="0"/>
          <w:numId w:val="33"/>
        </w:numPr>
        <w:widowControl w:val="0"/>
        <w:keepNext w:val="0"/>
        <w:keepLines w:val="0"/>
        <w:shd w:val="clear" w:color="auto" w:fill="auto"/>
        <w:bidi w:val="0"/>
        <w:jc w:val="left"/>
        <w:spacing w:before="0" w:after="0" w:line="278" w:lineRule="exact"/>
        <w:ind w:left="380" w:right="20" w:firstLine="560"/>
      </w:pPr>
      <w:r>
        <w:rPr>
          <w:lang w:val="ru-RU" w:eastAsia="ru-RU" w:bidi="ru-RU"/>
          <w:w w:val="100"/>
          <w:spacing w:val="0"/>
          <w:color w:val="000000"/>
          <w:position w:val="0"/>
        </w:rPr>
        <w:t xml:space="preserve"> Признать в действиях Заказчика нарушения части 30 статьи 34, части 6 статьи 66, части 3 статьи 96 Закона.</w:t>
      </w:r>
    </w:p>
    <w:p>
      <w:pPr>
        <w:pStyle w:val="Style10"/>
        <w:numPr>
          <w:ilvl w:val="0"/>
          <w:numId w:val="33"/>
        </w:numPr>
        <w:widowControl w:val="0"/>
        <w:keepNext w:val="0"/>
        <w:keepLines w:val="0"/>
        <w:shd w:val="clear" w:color="auto" w:fill="auto"/>
        <w:bidi w:val="0"/>
        <w:jc w:val="left"/>
        <w:spacing w:before="0" w:after="0" w:line="278" w:lineRule="exact"/>
        <w:ind w:left="380" w:right="20" w:firstLine="560"/>
      </w:pPr>
      <w:r>
        <w:rPr>
          <w:lang w:val="ru-RU" w:eastAsia="ru-RU" w:bidi="ru-RU"/>
          <w:w w:val="100"/>
          <w:spacing w:val="0"/>
          <w:color w:val="000000"/>
          <w:position w:val="0"/>
        </w:rPr>
        <w:t xml:space="preserve"> Выдать Заказчику обязательное для исполнения предписание об отмене определения поставщика (подрядчика, исполнителя).</w:t>
      </w:r>
    </w:p>
    <w:p>
      <w:pPr>
        <w:pStyle w:val="Style10"/>
        <w:numPr>
          <w:ilvl w:val="0"/>
          <w:numId w:val="33"/>
        </w:numPr>
        <w:widowControl w:val="0"/>
        <w:keepNext w:val="0"/>
        <w:keepLines w:val="0"/>
        <w:shd w:val="clear" w:color="auto" w:fill="auto"/>
        <w:bidi w:val="0"/>
        <w:jc w:val="left"/>
        <w:spacing w:before="0" w:after="314" w:line="278" w:lineRule="exact"/>
        <w:ind w:left="0" w:right="20" w:firstLine="940"/>
      </w:pPr>
      <w:r>
        <w:rPr>
          <w:lang w:val="ru-RU" w:eastAsia="ru-RU" w:bidi="ru-RU"/>
          <w:w w:val="100"/>
          <w:spacing w:val="0"/>
          <w:color w:val="000000"/>
          <w:position w:val="0"/>
        </w:rPr>
        <w:t xml:space="preserve"> Передать материалы дела № 057/06/31-65/2021 должностному лицу Управления для рассмотрения вопроса о возбуждении дела об административном правонарушении.</w:t>
      </w:r>
    </w:p>
    <w:p>
      <w:pPr>
        <w:pStyle w:val="Style10"/>
        <w:widowControl w:val="0"/>
        <w:keepNext w:val="0"/>
        <w:keepLines w:val="0"/>
        <w:shd w:val="clear" w:color="auto" w:fill="auto"/>
        <w:bidi w:val="0"/>
        <w:jc w:val="left"/>
        <w:spacing w:before="0" w:after="1001" w:line="562" w:lineRule="exact"/>
        <w:ind w:left="0" w:right="1460" w:firstLine="0"/>
      </w:pPr>
      <w:r>
        <w:rPr>
          <w:lang w:val="ru-RU" w:eastAsia="ru-RU" w:bidi="ru-RU"/>
          <w:w w:val="100"/>
          <w:spacing w:val="0"/>
          <w:color w:val="000000"/>
          <w:position w:val="0"/>
        </w:rPr>
        <w:t>Председатель Комиссии: Члены Комиссии:</w:t>
      </w:r>
    </w:p>
    <w:p>
      <w:pPr>
        <w:pStyle w:val="Style7"/>
        <w:widowControl w:val="0"/>
        <w:keepNext w:val="0"/>
        <w:keepLines w:val="0"/>
        <w:shd w:val="clear" w:color="auto" w:fill="auto"/>
        <w:bidi w:val="0"/>
        <w:jc w:val="left"/>
        <w:spacing w:before="0" w:after="4748" w:line="211" w:lineRule="exact"/>
        <w:ind w:left="0" w:right="20" w:firstLine="66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5ыть обжаловано в течение трех месяцев со дня его принятия.</w:t>
      </w:r>
    </w:p>
    <w:p>
      <w:pPr>
        <w:pStyle w:val="Style31"/>
        <w:widowControl w:val="0"/>
        <w:keepNext w:val="0"/>
        <w:keepLines w:val="0"/>
        <w:shd w:val="clear" w:color="auto" w:fill="auto"/>
        <w:bidi w:val="0"/>
        <w:jc w:val="left"/>
        <w:spacing w:before="0" w:after="0"/>
        <w:ind w:left="380" w:right="7000" w:firstLine="0"/>
      </w:pPr>
      <w:r>
        <w:rPr>
          <w:lang w:val="ru-RU" w:eastAsia="ru-RU" w:bidi="ru-RU"/>
          <w:w w:val="100"/>
          <w:spacing w:val="0"/>
          <w:color w:val="000000"/>
          <w:position w:val="0"/>
        </w:rPr>
        <w:t xml:space="preserve">Торшина Ольга Александровна </w:t>
      </w:r>
      <w:r>
        <w:rPr>
          <w:rStyle w:val="CharStyle33"/>
          <w:i/>
          <w:iCs/>
        </w:rPr>
        <w:t>8</w:t>
      </w:r>
      <w:r>
        <w:rPr>
          <w:rStyle w:val="CharStyle34"/>
          <w:i/>
          <w:iCs/>
        </w:rPr>
        <w:t>(</w:t>
      </w:r>
      <w:r>
        <w:rPr>
          <w:rStyle w:val="CharStyle33"/>
          <w:i/>
          <w:iCs/>
        </w:rPr>
        <w:t>4862</w:t>
      </w:r>
      <w:r>
        <w:rPr>
          <w:rStyle w:val="CharStyle34"/>
          <w:i/>
          <w:iCs/>
        </w:rPr>
        <w:t>)</w:t>
      </w:r>
      <w:r>
        <w:rPr>
          <w:rStyle w:val="CharStyle33"/>
          <w:i/>
          <w:iCs/>
        </w:rPr>
        <w:t>73</w:t>
      </w:r>
      <w:r>
        <w:rPr>
          <w:rStyle w:val="CharStyle34"/>
          <w:i/>
          <w:iCs/>
        </w:rPr>
        <w:t>-</w:t>
      </w:r>
      <w:r>
        <w:rPr>
          <w:rStyle w:val="CharStyle33"/>
          <w:i/>
          <w:iCs/>
        </w:rPr>
        <w:t>16-32</w:t>
      </w:r>
    </w:p>
    <w:sectPr>
      <w:type w:val="continuous"/>
      <w:pgSz w:w="16838" w:h="23810"/>
      <w:pgMar w:top="4359" w:left="3765" w:right="3333" w:bottom="49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0"/>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291.%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5.%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3.%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20">
    <w:multiLevelType w:val="multilevel"/>
    <w:lvl w:ilvl="0">
      <w:start w:val="1"/>
      <w:numFmt w:val="bullet"/>
      <w:lvlText w:val="-"/>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22">
    <w:multiLevelType w:val="multilevel"/>
    <w:lvl w:ilvl="0">
      <w:start w:val="1"/>
      <w:numFmt w:val="decimal"/>
      <w:lvlText w:val="291.%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5.%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6">
    <w:multiLevelType w:val="multilevel"/>
    <w:lvl w:ilvl="0">
      <w:start w:val="6"/>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8">
    <w:multiLevelType w:val="multilevel"/>
    <w:lvl w:ilvl="0">
      <w:start w:val="2"/>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30">
    <w:multiLevelType w:val="multilevel"/>
    <w:lvl w:ilvl="0">
      <w:start w:val="5"/>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6">
    <w:name w:val="Основной текст (3) Exact"/>
    <w:basedOn w:val="DefaultParagraphFont"/>
    <w:link w:val="Style5"/>
    <w:rPr>
      <w:b/>
      <w:bCs/>
      <w:i w:val="0"/>
      <w:iCs w:val="0"/>
      <w:u w:val="none"/>
      <w:strike w:val="0"/>
      <w:smallCaps w:val="0"/>
      <w:sz w:val="22"/>
      <w:szCs w:val="22"/>
      <w:rFonts w:ascii="Times New Roman" w:eastAsia="Times New Roman" w:hAnsi="Times New Roman" w:cs="Times New Roman"/>
      <w:spacing w:val="9"/>
    </w:rPr>
  </w:style>
  <w:style w:type="character" w:customStyle="1" w:styleId="CharStyle8">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7"/>
    </w:rPr>
  </w:style>
  <w:style w:type="character" w:customStyle="1" w:styleId="CharStyle9">
    <w:name w:val="Основной текст (4) + 7,5 pt,Интервал 0 pt Exact"/>
    <w:basedOn w:val="CharStyle21"/>
    <w:rPr>
      <w:lang w:val="en-US" w:eastAsia="en-US" w:bidi="en-US"/>
      <w:sz w:val="15"/>
      <w:szCs w:val="15"/>
      <w:spacing w:val="4"/>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2">
    <w:name w:val="Основной текст Exact"/>
    <w:basedOn w:val="CharStyle13"/>
    <w:rPr>
      <w:u w:val="single"/>
      <w:sz w:val="22"/>
      <w:szCs w:val="22"/>
      <w:spacing w:val="8"/>
    </w:rPr>
  </w:style>
  <w:style w:type="character" w:customStyle="1" w:styleId="CharStyle13">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ru-RU" w:eastAsia="ru-RU" w:bidi="ru-RU"/>
      <w:u w:val="single"/>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 Интервал 3 pt"/>
    <w:basedOn w:val="CharStyle13"/>
    <w:rPr>
      <w:lang w:val="ru-RU" w:eastAsia="ru-RU" w:bidi="ru-RU"/>
      <w:w w:val="100"/>
      <w:spacing w:val="70"/>
      <w:color w:val="000000"/>
      <w:position w:val="0"/>
    </w:rPr>
  </w:style>
  <w:style w:type="character" w:customStyle="1" w:styleId="CharStyle18">
    <w:name w:val="Основной текст + Полужирный"/>
    <w:basedOn w:val="CharStyle13"/>
    <w:rPr>
      <w:lang w:val="en-US" w:eastAsia="en-US" w:bidi="en-US"/>
      <w:b/>
      <w:bCs/>
      <w:w w:val="100"/>
      <w:spacing w:val="0"/>
      <w:color w:val="000000"/>
      <w:position w:val="0"/>
    </w:rPr>
  </w:style>
  <w:style w:type="character" w:customStyle="1" w:styleId="CharStyle19">
    <w:name w:val="Основной текст"/>
    <w:basedOn w:val="CharStyle13"/>
    <w:rPr>
      <w:lang w:val="ru-RU" w:eastAsia="ru-RU" w:bidi="ru-RU"/>
      <w:w w:val="100"/>
      <w:spacing w:val="0"/>
      <w:color w:val="000000"/>
      <w:position w:val="0"/>
    </w:rPr>
  </w:style>
  <w:style w:type="character" w:customStyle="1" w:styleId="CharStyle20">
    <w:name w:val="Основной текст + 9 pt"/>
    <w:basedOn w:val="CharStyle13"/>
    <w:rPr>
      <w:lang w:val="ru-RU" w:eastAsia="ru-RU" w:bidi="ru-RU"/>
      <w:sz w:val="18"/>
      <w:szCs w:val="18"/>
      <w:w w:val="100"/>
      <w:spacing w:val="0"/>
      <w:color w:val="000000"/>
      <w:position w:val="0"/>
    </w:rPr>
  </w:style>
  <w:style w:type="character" w:customStyle="1" w:styleId="CharStyle21">
    <w:name w:val="Основной текст (4)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4)"/>
    <w:basedOn w:val="CharStyle21"/>
    <w:rPr>
      <w:lang w:val="ru-RU" w:eastAsia="ru-RU" w:bidi="ru-RU"/>
      <w:u w:val="single"/>
      <w:w w:val="100"/>
      <w:spacing w:val="0"/>
      <w:color w:val="000000"/>
      <w:position w:val="0"/>
    </w:rPr>
  </w:style>
  <w:style w:type="character" w:customStyle="1" w:styleId="CharStyle23">
    <w:name w:val="Основной текст + 8 pt,Интервал 0 pt"/>
    <w:basedOn w:val="CharStyle13"/>
    <w:rPr>
      <w:lang w:val="ru-RU" w:eastAsia="ru-RU" w:bidi="ru-RU"/>
      <w:u w:val="single"/>
      <w:sz w:val="16"/>
      <w:szCs w:val="16"/>
      <w:w w:val="100"/>
      <w:spacing w:val="10"/>
      <w:color w:val="000000"/>
      <w:position w:val="0"/>
    </w:rPr>
  </w:style>
  <w:style w:type="character" w:customStyle="1" w:styleId="CharStyle24">
    <w:name w:val="Основной текст + 8 pt"/>
    <w:basedOn w:val="CharStyle13"/>
    <w:rPr>
      <w:lang w:val="ru-RU" w:eastAsia="ru-RU" w:bidi="ru-RU"/>
      <w:u w:val="single"/>
      <w:sz w:val="16"/>
      <w:szCs w:val="16"/>
      <w:w w:val="100"/>
      <w:spacing w:val="0"/>
      <w:color w:val="000000"/>
      <w:position w:val="0"/>
    </w:rPr>
  </w:style>
  <w:style w:type="character" w:customStyle="1" w:styleId="CharStyle25">
    <w:name w:val="Основной текст (4) Exact"/>
    <w:basedOn w:val="CharStyle21"/>
    <w:rPr>
      <w:lang w:val="ru-RU" w:eastAsia="ru-RU" w:bidi="ru-RU"/>
      <w:u w:val="single"/>
      <w:sz w:val="16"/>
      <w:szCs w:val="16"/>
      <w:w w:val="100"/>
      <w:spacing w:val="7"/>
      <w:color w:val="000000"/>
      <w:position w:val="0"/>
    </w:rPr>
  </w:style>
  <w:style w:type="character" w:customStyle="1" w:styleId="CharStyle27">
    <w:name w:val="Подпись к таблице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Подпись к таблице"/>
    <w:basedOn w:val="CharStyle27"/>
    <w:rPr>
      <w:lang w:val="ru-RU" w:eastAsia="ru-RU" w:bidi="ru-RU"/>
      <w:u w:val="single"/>
      <w:w w:val="100"/>
      <w:spacing w:val="0"/>
      <w:color w:val="000000"/>
      <w:position w:val="0"/>
    </w:rPr>
  </w:style>
  <w:style w:type="character" w:customStyle="1" w:styleId="CharStyle30">
    <w:name w:val="Заголовок №1_"/>
    <w:basedOn w:val="DefaultParagraphFont"/>
    <w:link w:val="Style29"/>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32">
    <w:name w:val="Основной текст (6)_"/>
    <w:basedOn w:val="DefaultParagraphFont"/>
    <w:link w:val="Style31"/>
    <w:rPr>
      <w:b w:val="0"/>
      <w:bCs w:val="0"/>
      <w:i/>
      <w:iCs/>
      <w:u w:val="none"/>
      <w:strike w:val="0"/>
      <w:smallCaps w:val="0"/>
      <w:sz w:val="17"/>
      <w:szCs w:val="17"/>
      <w:rFonts w:ascii="Times New Roman" w:eastAsia="Times New Roman" w:hAnsi="Times New Roman" w:cs="Times New Roman"/>
    </w:rPr>
  </w:style>
  <w:style w:type="character" w:customStyle="1" w:styleId="CharStyle33">
    <w:name w:val="Основной текст (6) + 8 pt"/>
    <w:basedOn w:val="CharStyle32"/>
    <w:rPr>
      <w:lang w:val="ru-RU" w:eastAsia="ru-RU" w:bidi="ru-RU"/>
      <w:sz w:val="16"/>
      <w:szCs w:val="16"/>
      <w:w w:val="100"/>
      <w:spacing w:val="0"/>
      <w:color w:val="000000"/>
      <w:position w:val="0"/>
    </w:rPr>
  </w:style>
  <w:style w:type="character" w:customStyle="1" w:styleId="CharStyle34">
    <w:name w:val="Основной текст (6) + 8 pt,Полужирный"/>
    <w:basedOn w:val="CharStyle32"/>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40" w:lineRule="exact"/>
    </w:pPr>
    <w:rPr>
      <w:b w:val="0"/>
      <w:bCs w:val="0"/>
      <w:i w:val="0"/>
      <w:iCs w:val="0"/>
      <w:u w:val="none"/>
      <w:strike w:val="0"/>
      <w:smallCaps w:val="0"/>
      <w:sz w:val="20"/>
      <w:szCs w:val="20"/>
      <w:rFonts w:ascii="Times New Roman" w:eastAsia="Times New Roman" w:hAnsi="Times New Roman" w:cs="Times New Roman"/>
      <w:spacing w:val="8"/>
    </w:rPr>
  </w:style>
  <w:style w:type="paragraph" w:customStyle="1" w:styleId="Style5">
    <w:name w:val="Основной текст (3)"/>
    <w:basedOn w:val="Normal"/>
    <w:link w:val="CharStyle6"/>
    <w:pPr>
      <w:widowControl w:val="0"/>
      <w:shd w:val="clear" w:color="auto" w:fill="FFFFFF"/>
      <w:jc w:val="center"/>
      <w:spacing w:after="60" w:line="307" w:lineRule="exact"/>
    </w:pPr>
    <w:rPr>
      <w:b/>
      <w:bCs/>
      <w:i w:val="0"/>
      <w:iCs w:val="0"/>
      <w:u w:val="none"/>
      <w:strike w:val="0"/>
      <w:smallCaps w:val="0"/>
      <w:sz w:val="22"/>
      <w:szCs w:val="22"/>
      <w:rFonts w:ascii="Times New Roman" w:eastAsia="Times New Roman" w:hAnsi="Times New Roman" w:cs="Times New Roman"/>
      <w:spacing w:val="9"/>
    </w:rPr>
  </w:style>
  <w:style w:type="paragraph" w:customStyle="1" w:styleId="Style7">
    <w:name w:val="Основной текст (4)"/>
    <w:basedOn w:val="Normal"/>
    <w:link w:val="CharStyle21"/>
    <w:pPr>
      <w:widowControl w:val="0"/>
      <w:shd w:val="clear" w:color="auto" w:fill="FFFFFF"/>
      <w:jc w:val="center"/>
      <w:spacing w:before="60" w:line="20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3"/>
    <w:pPr>
      <w:widowControl w:val="0"/>
      <w:shd w:val="clear" w:color="auto" w:fill="FFFFFF"/>
      <w:jc w:val="right"/>
      <w:spacing w:after="180"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right"/>
      <w:spacing w:before="240" w:after="6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Подпись к таблице"/>
    <w:basedOn w:val="Normal"/>
    <w:link w:val="CharStyle27"/>
    <w:pPr>
      <w:widowControl w:val="0"/>
      <w:shd w:val="clear" w:color="auto" w:fill="FFFFFF"/>
      <w:jc w:val="both"/>
      <w:spacing w:line="283" w:lineRule="exact"/>
      <w:ind w:firstLine="720"/>
    </w:pPr>
    <w:rPr>
      <w:b w:val="0"/>
      <w:bCs w:val="0"/>
      <w:i w:val="0"/>
      <w:iCs w:val="0"/>
      <w:u w:val="none"/>
      <w:strike w:val="0"/>
      <w:smallCaps w:val="0"/>
      <w:sz w:val="23"/>
      <w:szCs w:val="23"/>
      <w:rFonts w:ascii="Times New Roman" w:eastAsia="Times New Roman" w:hAnsi="Times New Roman" w:cs="Times New Roman"/>
    </w:rPr>
  </w:style>
  <w:style w:type="paragraph" w:customStyle="1" w:styleId="Style29">
    <w:name w:val="Заголовок №1"/>
    <w:basedOn w:val="Normal"/>
    <w:link w:val="CharStyle30"/>
    <w:pPr>
      <w:widowControl w:val="0"/>
      <w:shd w:val="clear" w:color="auto" w:fill="FFFFFF"/>
      <w:outlineLvl w:val="0"/>
      <w:spacing w:line="278"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31">
    <w:name w:val="Основной текст (6)"/>
    <w:basedOn w:val="Normal"/>
    <w:link w:val="CharStyle32"/>
    <w:pPr>
      <w:widowControl w:val="0"/>
      <w:shd w:val="clear" w:color="auto" w:fill="FFFFFF"/>
      <w:spacing w:before="4740" w:line="20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