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18" w:line="260" w:lineRule="exact"/>
        <w:ind w:left="5320" w:right="0" w:firstLine="0"/>
      </w:pPr>
      <w:r>
        <w:rPr>
          <w:lang w:val="ru-RU" w:eastAsia="ru-RU" w:bidi="ru-RU"/>
          <w:w w:val="100"/>
          <w:spacing w:val="0"/>
          <w:color w:val="000000"/>
          <w:position w:val="0"/>
        </w:rPr>
        <w:t>ГБУК «МГОМЗ»</w:t>
      </w:r>
    </w:p>
    <w:p>
      <w:pPr>
        <w:pStyle w:val="Style3"/>
        <w:widowControl w:val="0"/>
        <w:keepNext w:val="0"/>
        <w:keepLines w:val="0"/>
        <w:shd w:val="clear" w:color="auto" w:fill="auto"/>
        <w:bidi w:val="0"/>
        <w:jc w:val="left"/>
        <w:spacing w:before="0" w:after="285" w:line="302" w:lineRule="exact"/>
        <w:ind w:left="5320" w:right="40" w:firstLine="0"/>
      </w:pPr>
      <w:r>
        <w:rPr>
          <w:lang w:val="ru-RU" w:eastAsia="ru-RU" w:bidi="ru-RU"/>
          <w:w w:val="100"/>
          <w:spacing w:val="0"/>
          <w:color w:val="000000"/>
          <w:position w:val="0"/>
        </w:rPr>
        <w:t>Андропова пр-кт., д. 39, г. Москва, 115487</w:t>
      </w:r>
    </w:p>
    <w:p>
      <w:pPr>
        <w:pStyle w:val="Style3"/>
        <w:widowControl w:val="0"/>
        <w:keepNext w:val="0"/>
        <w:keepLines w:val="0"/>
        <w:shd w:val="clear" w:color="auto" w:fill="auto"/>
        <w:bidi w:val="0"/>
        <w:jc w:val="left"/>
        <w:spacing w:before="0" w:after="296" w:line="322" w:lineRule="exact"/>
        <w:ind w:left="5320" w:right="40" w:firstLine="0"/>
      </w:pPr>
      <w:r>
        <w:rPr>
          <w:lang w:val="ru-RU" w:eastAsia="ru-RU" w:bidi="ru-RU"/>
          <w:w w:val="100"/>
          <w:spacing w:val="0"/>
          <w:color w:val="000000"/>
          <w:position w:val="0"/>
        </w:rPr>
        <w:t>ГКУ «Технический центр Департамента культуры города Москвы»</w:t>
      </w:r>
    </w:p>
    <w:p>
      <w:pPr>
        <w:pStyle w:val="Style3"/>
        <w:widowControl w:val="0"/>
        <w:keepNext w:val="0"/>
        <w:keepLines w:val="0"/>
        <w:shd w:val="clear" w:color="auto" w:fill="auto"/>
        <w:bidi w:val="0"/>
        <w:jc w:val="left"/>
        <w:spacing w:before="0" w:after="353" w:line="326" w:lineRule="exact"/>
        <w:ind w:left="5320" w:right="40" w:firstLine="0"/>
      </w:pPr>
      <w:r>
        <w:rPr>
          <w:lang w:val="ru-RU" w:eastAsia="ru-RU" w:bidi="ru-RU"/>
          <w:w w:val="100"/>
          <w:spacing w:val="0"/>
          <w:color w:val="000000"/>
          <w:position w:val="0"/>
        </w:rPr>
        <w:t>Цветной б-р., д. 30, стр. 1, эт. 5, г. Москва, 127051</w:t>
      </w:r>
    </w:p>
    <w:p>
      <w:pPr>
        <w:pStyle w:val="Style3"/>
        <w:widowControl w:val="0"/>
        <w:keepNext w:val="0"/>
        <w:keepLines w:val="0"/>
        <w:shd w:val="clear" w:color="auto" w:fill="auto"/>
        <w:bidi w:val="0"/>
        <w:jc w:val="left"/>
        <w:spacing w:before="0" w:after="324" w:line="260" w:lineRule="exact"/>
        <w:ind w:left="5320" w:right="0" w:firstLine="0"/>
      </w:pPr>
      <w:r>
        <w:rPr>
          <w:lang w:val="ru-RU" w:eastAsia="ru-RU" w:bidi="ru-RU"/>
          <w:w w:val="100"/>
          <w:spacing w:val="0"/>
          <w:color w:val="000000"/>
          <w:position w:val="0"/>
        </w:rPr>
        <w:t>ООО «ПК РостПроект»</w:t>
      </w:r>
    </w:p>
    <w:p>
      <w:pPr>
        <w:pStyle w:val="Style3"/>
        <w:widowControl w:val="0"/>
        <w:keepNext w:val="0"/>
        <w:keepLines w:val="0"/>
        <w:shd w:val="clear" w:color="auto" w:fill="auto"/>
        <w:bidi w:val="0"/>
        <w:jc w:val="left"/>
        <w:spacing w:before="0" w:after="338" w:line="307" w:lineRule="exact"/>
        <w:ind w:left="5320" w:right="40" w:firstLine="0"/>
      </w:pPr>
      <w:r>
        <w:rPr>
          <w:lang w:val="ru-RU" w:eastAsia="ru-RU" w:bidi="ru-RU"/>
          <w:w w:val="100"/>
          <w:spacing w:val="0"/>
          <w:color w:val="000000"/>
          <w:position w:val="0"/>
        </w:rPr>
        <w:t>ул. 10 Августа, д. 4, оф. 25, г. Иваново, 153000</w:t>
      </w:r>
    </w:p>
    <w:p>
      <w:pPr>
        <w:pStyle w:val="Style3"/>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jc w:val="left"/>
        <w:spacing w:before="0" w:after="658" w:line="260" w:lineRule="exact"/>
        <w:ind w:left="5320" w:right="0" w:firstLine="0"/>
      </w:pPr>
      <w:r>
        <w:rPr>
          <w:lang w:val="ru-RU" w:eastAsia="ru-RU" w:bidi="ru-RU"/>
          <w:w w:val="100"/>
          <w:spacing w:val="0"/>
          <w:color w:val="000000"/>
          <w:position w:val="0"/>
        </w:rPr>
        <w:t>60-я Октября пр., д. 9, г. Москва, 117312</w:t>
      </w:r>
    </w:p>
    <w:p>
      <w:pPr>
        <w:pStyle w:val="Style6"/>
        <w:tabs>
          <w:tab w:leader="none" w:pos="9116" w:val="right"/>
          <w:tab w:leader="none" w:pos="10172" w:val="right"/>
        </w:tabs>
        <w:widowControl w:val="0"/>
        <w:keepNext w:val="0"/>
        <w:keepLines w:val="0"/>
        <w:shd w:val="clear" w:color="auto" w:fill="auto"/>
        <w:bidi w:val="0"/>
        <w:jc w:val="left"/>
        <w:spacing w:before="0" w:after="0"/>
        <w:ind w:left="20" w:right="40" w:firstLine="4360"/>
      </w:pPr>
      <w:r>
        <w:rPr>
          <w:lang w:val="ru-RU" w:eastAsia="ru-RU" w:bidi="ru-RU"/>
          <w:w w:val="100"/>
          <w:spacing w:val="0"/>
          <w:color w:val="000000"/>
          <w:position w:val="0"/>
        </w:rPr>
        <w:t>РЕШЕНИЕ по делу № 077/06/106-1952/2021 о нарушении законодательства о контрактной системе 09.02.2021</w:t>
        <w:tab/>
        <w:t>г.</w:t>
        <w:tab/>
        <w:t>Москва</w:t>
      </w:r>
    </w:p>
    <w:p>
      <w:pPr>
        <w:pStyle w:val="Style3"/>
        <w:widowControl w:val="0"/>
        <w:keepNext w:val="0"/>
        <w:keepLines w:val="0"/>
        <w:shd w:val="clear" w:color="auto" w:fill="auto"/>
        <w:bidi w:val="0"/>
        <w:jc w:val="both"/>
        <w:spacing w:before="0" w:after="0" w:line="298" w:lineRule="exact"/>
        <w:ind w:left="20" w:right="4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07" w:lineRule="exact"/>
        <w:ind w:left="20" w:right="40" w:firstLine="72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jc w:val="both"/>
        <w:spacing w:before="0" w:after="0" w:line="307" w:lineRule="exact"/>
        <w:ind w:left="20" w:right="0" w:firstLine="72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260" w:lineRule="exact"/>
        <w:ind w:left="20" w:right="0" w:firstLine="720"/>
      </w:pPr>
      <w:r>
        <w:rPr>
          <w:lang w:val="ru-RU" w:eastAsia="ru-RU" w:bidi="ru-RU"/>
          <w:w w:val="100"/>
          <w:spacing w:val="0"/>
          <w:color w:val="000000"/>
          <w:position w:val="0"/>
        </w:rPr>
        <w:t>Специалиста первого разряда отдела обжалования государственных закупок</w:t>
      </w:r>
    </w:p>
    <w:p>
      <w:pPr>
        <w:pStyle w:val="Style3"/>
        <w:numPr>
          <w:ilvl w:val="0"/>
          <w:numId w:val="1"/>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З. Касимовой,</w:t>
      </w:r>
    </w:p>
    <w:p>
      <w:pPr>
        <w:pStyle w:val="Style3"/>
        <w:widowControl w:val="0"/>
        <w:keepNext w:val="0"/>
        <w:keepLines w:val="0"/>
        <w:shd w:val="clear" w:color="auto" w:fill="auto"/>
        <w:bidi w:val="0"/>
        <w:jc w:val="both"/>
        <w:spacing w:before="0" w:after="0" w:line="260" w:lineRule="exact"/>
        <w:ind w:left="20" w:right="0" w:firstLine="720"/>
      </w:pPr>
      <w:r>
        <w:rPr>
          <w:lang w:val="ru-RU" w:eastAsia="ru-RU" w:bidi="ru-RU"/>
          <w:w w:val="100"/>
          <w:spacing w:val="0"/>
          <w:color w:val="000000"/>
          <w:position w:val="0"/>
        </w:rPr>
        <w:t>Специалиста-эксперта отдела обжалования государственных закупок</w:t>
      </w:r>
    </w:p>
    <w:p>
      <w:pPr>
        <w:pStyle w:val="Style3"/>
        <w:numPr>
          <w:ilvl w:val="0"/>
          <w:numId w:val="1"/>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А. Матвеева,</w:t>
      </w:r>
    </w:p>
    <w:p>
      <w:pPr>
        <w:pStyle w:val="Style3"/>
        <w:widowControl w:val="0"/>
        <w:keepNext w:val="0"/>
        <w:keepLines w:val="0"/>
        <w:shd w:val="clear" w:color="auto" w:fill="auto"/>
        <w:bidi w:val="0"/>
        <w:jc w:val="both"/>
        <w:spacing w:before="0" w:after="0" w:line="298" w:lineRule="exact"/>
        <w:ind w:left="20" w:right="40" w:firstLine="720"/>
      </w:pPr>
      <w:r>
        <w:rPr>
          <w:lang w:val="ru-RU" w:eastAsia="ru-RU" w:bidi="ru-RU"/>
          <w:w w:val="100"/>
          <w:spacing w:val="0"/>
          <w:color w:val="000000"/>
          <w:position w:val="0"/>
        </w:rPr>
        <w:t xml:space="preserve">рассмотрение жалобы проводилось дистанционно (посредством 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260" w:lineRule="exact"/>
        <w:ind w:left="20" w:right="0" w:firstLine="720"/>
      </w:pP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488" w:line="260" w:lineRule="exact"/>
        <w:ind w:left="20" w:right="0" w:firstLine="720"/>
      </w:pPr>
      <w:r>
        <w:rPr>
          <w:lang w:val="ru-RU" w:eastAsia="ru-RU" w:bidi="ru-RU"/>
          <w:w w:val="100"/>
          <w:spacing w:val="0"/>
          <w:color w:val="000000"/>
          <w:position w:val="0"/>
        </w:rPr>
        <w:t>ГБУК «МГОМЗ»: Т.И. Салькаева (по дов. №34-01-14-1/21 от 11.01.2021),</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000464504648</w:t>
      </w:r>
    </w:p>
    <w:p>
      <w:pPr>
        <w:pStyle w:val="Style3"/>
        <w:widowControl w:val="0"/>
        <w:keepNext w:val="0"/>
        <w:keepLines w:val="0"/>
        <w:shd w:val="clear" w:color="auto" w:fill="auto"/>
        <w:bidi w:val="0"/>
        <w:jc w:val="both"/>
        <w:spacing w:before="0" w:after="0" w:line="298" w:lineRule="exact"/>
        <w:ind w:left="20" w:right="0" w:firstLine="700"/>
      </w:pPr>
      <w:r>
        <w:rPr>
          <w:lang w:val="ru-RU" w:eastAsia="ru-RU" w:bidi="ru-RU"/>
          <w:w w:val="100"/>
          <w:spacing w:val="0"/>
          <w:color w:val="000000"/>
          <w:position w:val="0"/>
        </w:rPr>
        <w:t>ГКУ «Технический центр Департамента культуры города Москвы»:</w:t>
      </w:r>
    </w:p>
    <w:p>
      <w:pPr>
        <w:pStyle w:val="Style3"/>
        <w:tabs>
          <w:tab w:leader="none" w:pos="668" w:val="left"/>
        </w:tabs>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Н.М. Барановой (по дов. №ТЦ-15-7/21 от 12.01.2021)</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в отсутствие представителей ООО «ПК РостПроект», уведомленных о дате и порядке рассмотрения жалобы письмом Московского УФАС России исх. №ЕИ/6057/21 от 04.02.2021,</w:t>
      </w:r>
    </w:p>
    <w:p>
      <w:pPr>
        <w:pStyle w:val="Style3"/>
        <w:tabs>
          <w:tab w:leader="none" w:pos="10189" w:val="right"/>
        </w:tabs>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рассмотрев жалобу ООО «ПК РостПроект» (далее — Заявитель) на действия ГБУК «МГОМЗ» (далее — Заказчик) при проведении электронного аукциона на право заключения государственного контракта на поставку велопарковок для нужд МГОМЗ (Закупка №</w:t>
        <w:tab/>
        <w:t>0373200138221000002)</w:t>
      </w:r>
    </w:p>
    <w:p>
      <w:pPr>
        <w:pStyle w:val="Style3"/>
        <w:widowControl w:val="0"/>
        <w:keepNext w:val="0"/>
        <w:keepLines w:val="0"/>
        <w:shd w:val="clear" w:color="auto" w:fill="auto"/>
        <w:bidi w:val="0"/>
        <w:jc w:val="both"/>
        <w:spacing w:before="0" w:after="330" w:line="298" w:lineRule="exact"/>
        <w:ind w:left="20" w:right="20" w:firstLine="0"/>
      </w:pPr>
      <w:r>
        <w:rPr>
          <w:lang w:val="ru-RU" w:eastAsia="ru-RU" w:bidi="ru-RU"/>
          <w:w w:val="100"/>
          <w:spacing w:val="0"/>
          <w:color w:val="000000"/>
          <w:position w:val="0"/>
        </w:rPr>
        <w:t>(далее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0"/>
        <w:widowControl w:val="0"/>
        <w:keepNext/>
        <w:keepLines/>
        <w:shd w:val="clear" w:color="auto" w:fill="auto"/>
        <w:bidi w:val="0"/>
        <w:spacing w:before="0" w:after="0"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04.02.2021 № ЕИ/6057/21, Комиссия Управления установила следующее.</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3"/>
        <w:tabs>
          <w:tab w:leader="none" w:pos="10189" w:val="right"/>
        </w:tabs>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Согласно протоколу рассмотрения заявок на участие в электронном аукционе от 02.02.2021 №0373200138221000002-1 заявка Заявителя (номер заявки 10) признана несоответствующей на следующем основании: «Отказать в допуске по основаниям, предусмотренным п. 1 ч. 4 ст. 67 Федерального закона №</w:t>
        <w:tab/>
        <w:t>44-ФЗ:</w:t>
      </w:r>
    </w:p>
    <w:p>
      <w:pPr>
        <w:pStyle w:val="Style3"/>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непредоставление информации, предусмотренной ч. 3 ст. 66 Федерального закона № 44-ФЗ и требованиями п. 18.1 аукционной документации. Обоснование: в составе первой части заявки Участником не представлены показатели товара, соответствующие значениям, установленным в документации об электронном аукционе».</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Согласно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 начальных цен единиц товара, работы, услуги, а также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Согласно п.2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60" w:line="298" w:lineRule="exact"/>
        <w:ind w:left="0" w:right="20" w:firstLine="700"/>
      </w:pPr>
      <w:r>
        <w:rPr>
          <w:lang w:val="ru-RU" w:eastAsia="ru-RU" w:bidi="ru-RU"/>
          <w:w w:val="100"/>
          <w:spacing w:val="0"/>
          <w:color w:val="000000"/>
          <w:position w:val="0"/>
        </w:rPr>
        <w:t>Согласно п.18.1. информационной карты аукционной документации первая часть заявки на участие в электронном аукционе должна содержать, в том числе: «1.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w:t>
        <w:softHyphen/>
        <w:t>аппаратных средств электронной площадки) 2. Наименование страны происхождения товара. 3.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в случае наличия в составе документации формы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предоставление которых предусмотрено документацией об открытом аукционе в электронной форме» (а также иные сведения, предусмотренные указанной формой).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Комиссией Управления установлено, что в составе первой части заявки участник закупки выразил исключительно согласие на поставку товаров на условиях, предусмотренных документацией об аукционе, при этом в первой части заявки не представлены конкретные характеристики поставляемых товаров.</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В соответствии с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Вместе с тем в составе жалобы Заявитель пояснил, что выразил согласие на поставку товаров на условиях, предусмотренных документацией об аукционе и не предоставил конкретные показатели товара ввиду отсутствия в документации формы, поименованной как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предоставление которых предусмотрено документацией об открытом аукционе в электронной форме».</w:t>
      </w:r>
    </w:p>
    <w:p>
      <w:pPr>
        <w:pStyle w:val="Style3"/>
        <w:tabs>
          <w:tab w:leader="none" w:pos="2802" w:val="left"/>
        </w:tabs>
        <w:widowControl w:val="0"/>
        <w:keepNext w:val="0"/>
        <w:keepLines w:val="0"/>
        <w:shd w:val="clear" w:color="auto" w:fill="auto"/>
        <w:bidi w:val="0"/>
        <w:jc w:val="both"/>
        <w:spacing w:before="0" w:after="0" w:line="298" w:lineRule="exact"/>
        <w:ind w:left="0" w:right="0" w:firstLine="700"/>
      </w:pPr>
      <w:r>
        <w:rPr>
          <w:lang w:val="ru-RU" w:eastAsia="ru-RU" w:bidi="ru-RU"/>
          <w:w w:val="100"/>
          <w:spacing w:val="0"/>
          <w:color w:val="000000"/>
          <w:position w:val="0"/>
        </w:rPr>
        <w:t>Согласно ч.2</w:t>
        <w:tab/>
        <w:t>ст.106 лица, права и законные интересы которых</w:t>
      </w:r>
    </w:p>
    <w:p>
      <w:pPr>
        <w:pStyle w:val="Style3"/>
        <w:widowControl w:val="0"/>
        <w:keepNext w:val="0"/>
        <w:keepLines w:val="0"/>
        <w:shd w:val="clear" w:color="auto" w:fill="auto"/>
        <w:bidi w:val="0"/>
        <w:jc w:val="both"/>
        <w:spacing w:before="0" w:after="0" w:line="298" w:lineRule="exact"/>
        <w:ind w:left="0" w:right="20" w:firstLine="0"/>
      </w:pPr>
      <w:r>
        <w:rPr>
          <w:lang w:val="ru-RU" w:eastAsia="ru-RU" w:bidi="ru-RU"/>
          <w:w w:val="100"/>
          <w:spacing w:val="0"/>
          <w:color w:val="000000"/>
          <w:position w:val="0"/>
        </w:rPr>
        <w:t>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На заседании Комиссии Управления представитель Заказчика пояснил, что участникам закупки необходимо предоставить конкретные показатели по следующим наименованиям граф формы «Спецификация» в приложении № 1 к техническому заданию аукционной документации: габаритные размеры, количество парковочных мест, металлическая конструкция из круглых труб, крепление, требования к обработке металлических частей изделия. Также согласно пояснениям представителя Заказчика, предоставление данных в составе первых частей заявок отраженных в графе «Общие требования» указанной формы участникам закупки не требовалось.</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Комиссия Управления отмечает, что требования ч.3 ст.66 Закона о контрактной системе предусматривают представление конкретных показателей товаров вне зависимости от наименования каких-либо форм и приложений закупочной документации.</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Вместе с тем, Комиссия Управления отмечает, что форма «Спецификация» в приложении № 1 к техническому заданию аукционной документации составлена таким образом, что не позволяет однозначно идентифицировать требования к товарам, их технические характеристики и требуемые значения, которые должны быть представлены в составе первой части заявки в силу вышеупомянутой нормы ч.3 ст.66 Закона о контрактной системе, поскольку в одну форму Заказчиком объединены как требования к товарам, требуемые по мнению Заказчика конкретизации в составе заявок, так и требования не требующие предоставления и конкретизации в составе заявок. Более того, спецификация также содержит адрес и объем поставки, при этом, требования к значениям показателей, требуемых, по мнению аукционной комиссии Заказчика к предоставлению не вынесены в отдельную форму, а размещенная таблица в свою очередь содержит также информацию не требуемую к предоставлению, а также не содержит графу «значение предлагаемое участником», что в совокупности с</w:t>
        <w:br w:type="page"/>
        <w:t>вышеизложенным, указывает на то, что документация не позволяет однозначно определить требования к конкретным показателям товаров, требуемым к предоставлению в составе первой части заявки.</w:t>
      </w:r>
    </w:p>
    <w:p>
      <w:pPr>
        <w:pStyle w:val="Style3"/>
        <w:widowControl w:val="0"/>
        <w:keepNext w:val="0"/>
        <w:keepLines w:val="0"/>
        <w:shd w:val="clear" w:color="auto" w:fill="auto"/>
        <w:bidi w:val="0"/>
        <w:jc w:val="both"/>
        <w:spacing w:before="0" w:after="0" w:line="302" w:lineRule="exact"/>
        <w:ind w:left="0" w:right="20" w:firstLine="720"/>
      </w:pPr>
      <w:r>
        <w:rPr>
          <w:lang w:val="ru-RU" w:eastAsia="ru-RU" w:bidi="ru-RU"/>
          <w:w w:val="100"/>
          <w:spacing w:val="0"/>
          <w:color w:val="000000"/>
          <w:position w:val="0"/>
        </w:rPr>
        <w:t>Ч.4 ст. 67 Закона о контрактной системе установлено, что участник электронного аукциона не допускается к участию в нем в случае:</w:t>
      </w:r>
    </w:p>
    <w:p>
      <w:pPr>
        <w:pStyle w:val="Style3"/>
        <w:numPr>
          <w:ilvl w:val="0"/>
          <w:numId w:val="3"/>
        </w:numPr>
        <w:widowControl w:val="0"/>
        <w:keepNext w:val="0"/>
        <w:keepLines w:val="0"/>
        <w:shd w:val="clear" w:color="auto" w:fill="auto"/>
        <w:bidi w:val="0"/>
        <w:jc w:val="both"/>
        <w:spacing w:before="0" w:after="0" w:line="302" w:lineRule="exact"/>
        <w:ind w:left="0" w:right="20" w:firstLine="72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3"/>
        <w:numPr>
          <w:ilvl w:val="0"/>
          <w:numId w:val="3"/>
        </w:numPr>
        <w:widowControl w:val="0"/>
        <w:keepNext w:val="0"/>
        <w:keepLines w:val="0"/>
        <w:shd w:val="clear" w:color="auto" w:fill="auto"/>
        <w:bidi w:val="0"/>
        <w:jc w:val="both"/>
        <w:spacing w:before="0" w:after="0" w:line="298" w:lineRule="exact"/>
        <w:ind w:left="0" w:right="20" w:firstLine="72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3"/>
        <w:widowControl w:val="0"/>
        <w:keepNext w:val="0"/>
        <w:keepLines w:val="0"/>
        <w:shd w:val="clear" w:color="auto" w:fill="auto"/>
        <w:bidi w:val="0"/>
        <w:jc w:val="both"/>
        <w:spacing w:before="0" w:after="0" w:line="298" w:lineRule="exact"/>
        <w:ind w:left="0" w:right="20" w:firstLine="720"/>
      </w:pPr>
      <w:r>
        <w:rPr>
          <w:lang w:val="ru-RU" w:eastAsia="ru-RU" w:bidi="ru-RU"/>
          <w:w w:val="100"/>
          <w:spacing w:val="0"/>
          <w:color w:val="000000"/>
          <w:position w:val="0"/>
        </w:rPr>
        <w:t>В соответствие с ч.5 ст.67 Закона о контрактной системе отказ в допуске к участию в электронном аукционе по основаниям, не предусмотренным</w:t>
      </w:r>
    </w:p>
    <w:p>
      <w:pPr>
        <w:pStyle w:val="Style3"/>
        <w:numPr>
          <w:ilvl w:val="0"/>
          <w:numId w:val="5"/>
        </w:numPr>
        <w:tabs>
          <w:tab w:leader="none" w:pos="536" w:val="left"/>
        </w:tabs>
        <w:widowControl w:val="0"/>
        <w:keepNext w:val="0"/>
        <w:keepLines w:val="0"/>
        <w:shd w:val="clear" w:color="auto" w:fill="auto"/>
        <w:bidi w:val="0"/>
        <w:jc w:val="both"/>
        <w:spacing w:before="0" w:after="0" w:line="298" w:lineRule="exact"/>
        <w:ind w:left="0" w:right="0" w:firstLine="0"/>
      </w:pPr>
      <w:r>
        <w:rPr>
          <w:lang w:val="ru-RU" w:eastAsia="ru-RU" w:bidi="ru-RU"/>
          <w:w w:val="100"/>
          <w:spacing w:val="0"/>
          <w:color w:val="000000"/>
          <w:position w:val="0"/>
        </w:rPr>
        <w:t>ст. 67 Закона о контрактной системе, не допускается.</w:t>
      </w:r>
    </w:p>
    <w:p>
      <w:pPr>
        <w:pStyle w:val="Style3"/>
        <w:widowControl w:val="0"/>
        <w:keepNext w:val="0"/>
        <w:keepLines w:val="0"/>
        <w:shd w:val="clear" w:color="auto" w:fill="auto"/>
        <w:bidi w:val="0"/>
        <w:jc w:val="both"/>
        <w:spacing w:before="0" w:after="0" w:line="298" w:lineRule="exact"/>
        <w:ind w:left="0" w:right="20" w:firstLine="720"/>
      </w:pPr>
      <w:r>
        <w:rPr>
          <w:lang w:val="ru-RU" w:eastAsia="ru-RU" w:bidi="ru-RU"/>
          <w:w w:val="100"/>
          <w:spacing w:val="0"/>
          <w:color w:val="000000"/>
          <w:position w:val="0"/>
        </w:rPr>
        <w:t>Таким образом, действия аукционной комиссии Заказчика в части отказа в допуске Заявителю к участию в электронном аукционе по основаниям, указанным в протоколе рассмотрения заявок на участие в электронном аукционе, нарушают положения ч.5 ст.67 Закона о контрактной системе.</w:t>
      </w:r>
    </w:p>
    <w:p>
      <w:pPr>
        <w:pStyle w:val="Style3"/>
        <w:widowControl w:val="0"/>
        <w:keepNext w:val="0"/>
        <w:keepLines w:val="0"/>
        <w:shd w:val="clear" w:color="auto" w:fill="auto"/>
        <w:bidi w:val="0"/>
        <w:jc w:val="both"/>
        <w:spacing w:before="0" w:after="330" w:line="298" w:lineRule="exact"/>
        <w:ind w:left="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6"/>
        <w:widowControl w:val="0"/>
        <w:keepNext w:val="0"/>
        <w:keepLines w:val="0"/>
        <w:shd w:val="clear" w:color="auto" w:fill="auto"/>
        <w:bidi w:val="0"/>
        <w:jc w:val="center"/>
        <w:spacing w:before="0" w:after="318" w:line="260" w:lineRule="exact"/>
        <w:ind w:left="20" w:right="0" w:firstLine="0"/>
      </w:pPr>
      <w:r>
        <w:rPr>
          <w:lang w:val="ru-RU" w:eastAsia="ru-RU" w:bidi="ru-RU"/>
          <w:w w:val="100"/>
          <w:spacing w:val="0"/>
          <w:color w:val="000000"/>
          <w:position w:val="0"/>
        </w:rPr>
        <w:t>Р Е Ш И Л А:</w:t>
      </w:r>
    </w:p>
    <w:p>
      <w:pPr>
        <w:pStyle w:val="Style3"/>
        <w:numPr>
          <w:ilvl w:val="0"/>
          <w:numId w:val="7"/>
        </w:numPr>
        <w:tabs>
          <w:tab w:leader="none" w:pos="1122" w:val="left"/>
        </w:tabs>
        <w:widowControl w:val="0"/>
        <w:keepNext w:val="0"/>
        <w:keepLines w:val="0"/>
        <w:shd w:val="clear" w:color="auto" w:fill="auto"/>
        <w:bidi w:val="0"/>
        <w:jc w:val="both"/>
        <w:spacing w:before="0" w:after="0" w:line="302" w:lineRule="exact"/>
        <w:ind w:left="0" w:right="20" w:firstLine="720"/>
      </w:pPr>
      <w:r>
        <w:rPr>
          <w:lang w:val="ru-RU" w:eastAsia="ru-RU" w:bidi="ru-RU"/>
          <w:w w:val="100"/>
          <w:spacing w:val="0"/>
          <w:color w:val="000000"/>
          <w:position w:val="0"/>
        </w:rPr>
        <w:t>Признать жалобу ООО «ПК РостПроект» на действия ГБУК «МГОМЗ» обоснованной.</w:t>
      </w:r>
    </w:p>
    <w:p>
      <w:pPr>
        <w:pStyle w:val="Style3"/>
        <w:numPr>
          <w:ilvl w:val="0"/>
          <w:numId w:val="7"/>
        </w:numPr>
        <w:widowControl w:val="0"/>
        <w:keepNext w:val="0"/>
        <w:keepLines w:val="0"/>
        <w:shd w:val="clear" w:color="auto" w:fill="auto"/>
        <w:bidi w:val="0"/>
        <w:jc w:val="both"/>
        <w:spacing w:before="0" w:after="0" w:line="298" w:lineRule="exact"/>
        <w:ind w:left="0" w:right="0" w:firstLine="720"/>
      </w:pPr>
      <w:r>
        <w:rPr>
          <w:lang w:val="ru-RU" w:eastAsia="ru-RU" w:bidi="ru-RU"/>
          <w:w w:val="100"/>
          <w:spacing w:val="0"/>
          <w:color w:val="000000"/>
          <w:position w:val="0"/>
        </w:rPr>
        <w:t xml:space="preserve"> Признать в действиях аукционной комиссии Заказчика нарушение</w:t>
      </w:r>
    </w:p>
    <w:p>
      <w:pPr>
        <w:pStyle w:val="Style3"/>
        <w:numPr>
          <w:ilvl w:val="0"/>
          <w:numId w:val="5"/>
        </w:numPr>
        <w:tabs>
          <w:tab w:leader="none" w:pos="536" w:val="left"/>
        </w:tabs>
        <w:widowControl w:val="0"/>
        <w:keepNext w:val="0"/>
        <w:keepLines w:val="0"/>
        <w:shd w:val="clear" w:color="auto" w:fill="auto"/>
        <w:bidi w:val="0"/>
        <w:jc w:val="both"/>
        <w:spacing w:before="0" w:after="0" w:line="298" w:lineRule="exact"/>
        <w:ind w:left="0" w:right="0" w:firstLine="0"/>
      </w:pPr>
      <w:r>
        <w:rPr>
          <w:lang w:val="ru-RU" w:eastAsia="ru-RU" w:bidi="ru-RU"/>
          <w:w w:val="100"/>
          <w:spacing w:val="0"/>
          <w:color w:val="000000"/>
          <w:position w:val="0"/>
        </w:rPr>
        <w:t>ст.67 Закона о контрактной системе.</w:t>
      </w:r>
    </w:p>
    <w:p>
      <w:pPr>
        <w:pStyle w:val="Style3"/>
        <w:numPr>
          <w:ilvl w:val="0"/>
          <w:numId w:val="7"/>
        </w:numPr>
        <w:widowControl w:val="0"/>
        <w:keepNext w:val="0"/>
        <w:keepLines w:val="0"/>
        <w:shd w:val="clear" w:color="auto" w:fill="auto"/>
        <w:bidi w:val="0"/>
        <w:jc w:val="both"/>
        <w:spacing w:before="0" w:after="296" w:line="293" w:lineRule="exact"/>
        <w:ind w:left="0" w:right="2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3"/>
        <w:widowControl w:val="0"/>
        <w:keepNext w:val="0"/>
        <w:keepLines w:val="0"/>
        <w:shd w:val="clear" w:color="auto" w:fill="auto"/>
        <w:bidi w:val="0"/>
        <w:jc w:val="both"/>
        <w:spacing w:before="0" w:after="0" w:line="298"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w:t>
      </w:r>
    </w:p>
    <w:p>
      <w:pPr>
        <w:pStyle w:val="Style3"/>
        <w:widowControl w:val="0"/>
        <w:keepNext w:val="0"/>
        <w:keepLines w:val="0"/>
        <w:shd w:val="clear" w:color="auto" w:fill="auto"/>
        <w:bidi w:val="0"/>
        <w:jc w:val="both"/>
        <w:spacing w:before="0" w:after="652" w:line="260" w:lineRule="exact"/>
        <w:ind w:left="0" w:right="0" w:firstLine="0"/>
      </w:pPr>
      <w:r>
        <w:rPr>
          <w:lang w:val="ru-RU" w:eastAsia="ru-RU" w:bidi="ru-RU"/>
          <w:w w:val="100"/>
          <w:spacing w:val="0"/>
          <w:color w:val="000000"/>
          <w:position w:val="0"/>
        </w:rPr>
        <w:t>гл. 24 АПК РФ.</w:t>
      </w:r>
    </w:p>
    <w:p>
      <w:pPr>
        <w:pStyle w:val="Style3"/>
        <w:framePr w:h="250" w:wrap="around" w:vAnchor="text" w:hAnchor="margin" w:x="8371" w:y="1"/>
        <w:widowControl w:val="0"/>
        <w:keepNext w:val="0"/>
        <w:keepLines w:val="0"/>
        <w:shd w:val="clear" w:color="auto" w:fill="auto"/>
        <w:bidi w:val="0"/>
        <w:jc w:val="left"/>
        <w:spacing w:before="0" w:after="0" w:line="240" w:lineRule="exact"/>
        <w:ind w:left="100" w:right="0" w:firstLine="0"/>
      </w:pPr>
      <w:r>
        <w:rPr>
          <w:rStyle w:val="CharStyle4"/>
        </w:rPr>
        <w:t>Д.С. Грешнева</w:t>
      </w:r>
    </w:p>
    <w:p>
      <w:pPr>
        <w:pStyle w:val="Style3"/>
        <w:framePr w:h="240" w:wrap="around" w:vAnchor="text" w:hAnchor="margin" w:x="8399" w:y="644"/>
        <w:widowControl w:val="0"/>
        <w:keepNext w:val="0"/>
        <w:keepLines w:val="0"/>
        <w:shd w:val="clear" w:color="auto" w:fill="auto"/>
        <w:bidi w:val="0"/>
        <w:jc w:val="left"/>
        <w:spacing w:before="0" w:after="0" w:line="240" w:lineRule="exact"/>
        <w:ind w:left="100" w:right="0" w:firstLine="0"/>
      </w:pPr>
      <w:r>
        <w:rPr>
          <w:rStyle w:val="CharStyle4"/>
        </w:rPr>
        <w:t>А.З. Касимова</w:t>
      </w:r>
    </w:p>
    <w:p>
      <w:pPr>
        <w:pStyle w:val="Style3"/>
        <w:widowControl w:val="0"/>
        <w:keepNext w:val="0"/>
        <w:keepLines w:val="0"/>
        <w:shd w:val="clear" w:color="auto" w:fill="auto"/>
        <w:bidi w:val="0"/>
        <w:jc w:val="both"/>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3"/>
        <w:framePr w:h="240" w:wrap="notBeside" w:vAnchor="text" w:hAnchor="margin" w:x="8452" w:y="639"/>
        <w:widowControl w:val="0"/>
        <w:keepNext w:val="0"/>
        <w:keepLines w:val="0"/>
        <w:shd w:val="clear" w:color="auto" w:fill="auto"/>
        <w:bidi w:val="0"/>
        <w:jc w:val="left"/>
        <w:spacing w:before="0" w:after="0" w:line="240" w:lineRule="exact"/>
        <w:ind w:left="100" w:right="0" w:firstLine="0"/>
      </w:pPr>
      <w:r>
        <w:rPr>
          <w:rStyle w:val="CharStyle4"/>
        </w:rPr>
        <w:t>В.А. Матвеев</w:t>
      </w:r>
    </w:p>
    <w:p>
      <w:pPr>
        <w:pStyle w:val="Style3"/>
        <w:widowControl w:val="0"/>
        <w:keepNext w:val="0"/>
        <w:keepLines w:val="0"/>
        <w:shd w:val="clear" w:color="auto" w:fill="auto"/>
        <w:bidi w:val="0"/>
        <w:jc w:val="both"/>
        <w:spacing w:before="0" w:after="988" w:line="260" w:lineRule="exact"/>
        <w:ind w:left="0" w:right="0" w:firstLine="0"/>
      </w:pPr>
      <w:r>
        <w:rPr>
          <w:lang w:val="ru-RU" w:eastAsia="ru-RU" w:bidi="ru-RU"/>
          <w:w w:val="100"/>
          <w:spacing w:val="0"/>
          <w:color w:val="000000"/>
          <w:position w:val="0"/>
        </w:rPr>
        <w:t>Члены Комиссии:</w:t>
      </w:r>
    </w:p>
    <w:p>
      <w:pPr>
        <w:pStyle w:val="Style12"/>
        <w:widowControl w:val="0"/>
        <w:keepNext w:val="0"/>
        <w:keepLines w:val="0"/>
        <w:shd w:val="clear" w:color="auto" w:fill="auto"/>
        <w:bidi w:val="0"/>
        <w:jc w:val="left"/>
        <w:spacing w:before="0" w:after="0"/>
        <w:ind w:left="0" w:right="8040" w:firstLine="0"/>
      </w:pPr>
      <w:r>
        <w:rPr>
          <w:lang w:val="ru-RU" w:eastAsia="ru-RU" w:bidi="ru-RU"/>
          <w:w w:val="100"/>
          <w:spacing w:val="0"/>
          <w:color w:val="000000"/>
          <w:position w:val="0"/>
        </w:rPr>
        <w:t xml:space="preserve">Исп. Касимова А.З. </w:t>
      </w:r>
      <w:r>
        <w:fldChar w:fldCharType="begin"/>
      </w:r>
      <w:r>
        <w:rPr>
          <w:color w:val="000000"/>
        </w:rPr>
        <w:instrText> HYPERLINK "mailto:to77-kasimova@fas.gov.ru" </w:instrText>
      </w:r>
      <w:r>
        <w:fldChar w:fldCharType="separate"/>
      </w:r>
      <w:r>
        <w:rPr>
          <w:rStyle w:val="Hyperlink"/>
          <w:w w:val="100"/>
          <w:spacing w:val="0"/>
          <w:position w:val="0"/>
        </w:rPr>
        <w:t>to77-kasimova@fas.gov.ru</w:t>
      </w:r>
      <w:r>
        <w:fldChar w:fldCharType="end"/>
      </w:r>
    </w:p>
    <w:sectPr>
      <w:footnotePr>
        <w:pos w:val="pageBottom"/>
        <w:numFmt w:val="decimal"/>
        <w:numRestart w:val="continuous"/>
      </w:footnotePr>
      <w:type w:val="continuous"/>
      <w:pgSz w:w="11906" w:h="16838"/>
      <w:pgMar w:top="1195" w:left="854" w:right="828" w:bottom="13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upperLetter"/>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4"/>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lang w:val="en-US" w:eastAsia="en-US" w:bidi="en-US"/>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5"/>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7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080" w:line="230" w:lineRule="exact"/>
    </w:pPr>
    <w:rPr>
      <w:lang w:val="en-US" w:eastAsia="en-US" w:bidi="en-US"/>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