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59" w:wrap="around" w:vAnchor="text" w:hAnchor="margin" w:x="1843" w:y="4157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5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109" w:after="137"/>
        <w:ind w:left="0" w:right="20" w:firstLine="0"/>
      </w:pPr>
      <w:r>
        <w:rPr>
          <w:rStyle w:val="CharStyle8"/>
          <w:b/>
          <w:bCs/>
        </w:rPr>
        <w:t>ФЕДЕРАЛЬНАЯ АНТИМОНОПОЛЬНАЯ СЛУЖБА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41"/>
        <w:ind w:left="0" w:right="20" w:firstLine="0"/>
      </w:pPr>
      <w:r>
        <w:rPr>
          <w:rStyle w:val="CharStyle11"/>
          <w:b/>
          <w:bCs/>
        </w:rPr>
        <w:t>УПРАВЛЕНИЕ по Курганской области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319"/>
        <w:ind w:left="0" w:right="20" w:firstLine="0"/>
      </w:pPr>
      <w:r>
        <w:rPr>
          <w:rStyle w:val="CharStyle14"/>
        </w:rPr>
        <w:t xml:space="preserve">ул. М. Горького. 40, г. Курган, 640020 тел. (3522) 46-39-55, факс (3522) 46-39-85 </w:t>
      </w:r>
      <w:r>
        <w:rPr>
          <w:rStyle w:val="CharStyle15"/>
        </w:rPr>
        <w:t xml:space="preserve">e-mail: </w:t>
      </w:r>
      <w:r>
        <w:fldChar w:fldCharType="begin"/>
      </w:r>
      <w:r>
        <w:rPr>
          <w:rStyle w:val="CharStyle16"/>
        </w:rPr>
        <w:instrText> HYPERLINK "mailto:to45@fas.gov.ru" </w:instrText>
      </w:r>
      <w:r>
        <w:fldChar w:fldCharType="separate"/>
      </w:r>
      <w:r>
        <w:rPr>
          <w:rStyle w:val="Hyperlink"/>
        </w:rPr>
        <w:t>to45@fas.gov.ru</w:t>
      </w:r>
      <w:r>
        <w:fldChar w:fldCharType="end"/>
      </w:r>
    </w:p>
    <w:p>
      <w:pPr>
        <w:pStyle w:val="Style17"/>
        <w:tabs>
          <w:tab w:leader="none" w:pos="1647" w:val="right"/>
          <w:tab w:leader="none" w:pos="3663" w:val="right"/>
        </w:tabs>
        <w:widowControl w:val="0"/>
        <w:keepNext/>
        <w:keepLines/>
        <w:shd w:val="clear" w:color="auto" w:fill="auto"/>
        <w:bidi w:val="0"/>
        <w:spacing w:before="0" w:after="129" w:line="260" w:lineRule="exact"/>
        <w:ind w:left="20" w:right="0" w:firstLine="0"/>
      </w:pPr>
      <w:bookmarkStart w:id="0" w:name="bookmark0"/>
      <w:r>
        <w:rPr>
          <w:rStyle w:val="CharStyle19"/>
          <w:i/>
          <w:iCs/>
        </w:rPr>
        <w:t>ft.</w:t>
        <w:tab/>
        <w:t xml:space="preserve">OS. </w:t>
      </w:r>
      <w:r>
        <w:rPr>
          <w:rStyle w:val="CharStyle20"/>
          <w:i/>
          <w:iCs/>
        </w:rPr>
        <w:t>8.QSS</w:t>
      </w:r>
      <w:r>
        <w:rPr>
          <w:rStyle w:val="CharStyle21"/>
          <w:i w:val="0"/>
          <w:iCs w:val="0"/>
        </w:rPr>
        <w:tab/>
      </w:r>
      <w:r>
        <w:rPr>
          <w:rStyle w:val="CharStyle22"/>
          <w:i w:val="0"/>
          <w:iCs w:val="0"/>
        </w:rPr>
        <w:t xml:space="preserve">№ </w:t>
      </w:r>
      <w:r>
        <w:rPr>
          <w:rStyle w:val="CharStyle19"/>
          <w:i/>
          <w:iCs/>
        </w:rPr>
        <w:t>os-</w:t>
      </w:r>
      <w:r>
        <w:rPr>
          <w:rStyle w:val="CharStyle21"/>
          <w:i w:val="0"/>
          <w:iCs w:val="0"/>
        </w:rPr>
        <w:t xml:space="preserve"> </w:t>
      </w:r>
      <w:r>
        <w:rPr>
          <w:rStyle w:val="CharStyle21"/>
          <w:lang w:val="ru-RU" w:eastAsia="ru-RU" w:bidi="ru-RU"/>
          <w:i w:val="0"/>
          <w:iCs w:val="0"/>
        </w:rPr>
        <w:t>-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20" w:right="0" w:firstLine="0"/>
      </w:pPr>
      <w:r>
        <w:rPr>
          <w:rStyle w:val="CharStyle24"/>
        </w:rPr>
        <w:t>На №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«ТехСтройПартнер»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22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656016,Алтайский край, г. Барнаул, ул. Власихинская, дом 49/1, офис 141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rPr>
          <w:rStyle w:val="CharStyle27"/>
        </w:rPr>
        <w:t xml:space="preserve">bolshunov </w:t>
      </w:r>
      <w:r>
        <w:fldChar w:fldCharType="begin"/>
      </w:r>
      <w:r>
        <w:rPr>
          <w:rStyle w:val="CharStyle27"/>
        </w:rPr>
        <w:instrText> HYPERLINK "mailto:1990@bk.ru" </w:instrText>
      </w:r>
      <w:r>
        <w:fldChar w:fldCharType="separate"/>
      </w:r>
      <w:r>
        <w:rPr>
          <w:rStyle w:val="Hyperlink"/>
          <w:lang w:val="ru-RU" w:eastAsia="ru-RU" w:bidi="ru-RU"/>
        </w:rPr>
        <w:t>1</w:t>
      </w:r>
      <w:r>
        <w:rPr>
          <w:rStyle w:val="Hyperlink"/>
        </w:rPr>
        <w:t>990@bk.ru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35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Государственное бюджетное учреждение «Глядянская центральная районная больница»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249" w:line="32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641400, Курганская область, Притобольный район, село Глядянское, ул. Ленина, 125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7"/>
        </w:rPr>
        <w:instrText> HYPERLINK "mailto:glaydcrb@yandex.ru" </w:instrText>
      </w:r>
      <w:r>
        <w:fldChar w:fldCharType="separate"/>
      </w:r>
      <w:r>
        <w:rPr>
          <w:rStyle w:val="Hyperlink"/>
        </w:rPr>
        <w:t>glaydcrb@yandex.ru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Государственное казенное учреждение «Центр закупок и бухгалтерского учета Курганской области»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88" w:left="972" w:right="1447" w:bottom="559" w:header="0" w:footer="3" w:gutter="0"/>
          <w:rtlGutter w:val="0"/>
          <w:cols w:num="2" w:space="720" w:equalWidth="0">
            <w:col w:w="3701" w:space="842"/>
            <w:col w:w="4943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640003, Курганская область, г. Курган, ул. Р. Зорге, д. 20, офис 1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7"/>
        </w:rPr>
        <w:instrText> HYPERLINK "mailto:ugz@kurganobl.ru" </w:instrText>
      </w:r>
      <w:r>
        <w:fldChar w:fldCharType="separate"/>
      </w:r>
      <w:r>
        <w:rPr>
          <w:rStyle w:val="Hyperlink"/>
        </w:rPr>
        <w:t>ugz@kurganobl.ru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5" w:after="1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2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о нарушении законодательства о контрактной системе в сфере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290" w:line="302" w:lineRule="exact"/>
        <w:ind w:left="32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закупок № 05-02/12-2021</w:t>
      </w:r>
    </w:p>
    <w:p>
      <w:pPr>
        <w:pStyle w:val="Style25"/>
        <w:numPr>
          <w:ilvl w:val="0"/>
          <w:numId w:val="1"/>
        </w:numPr>
        <w:tabs>
          <w:tab w:leader="none" w:pos="8401" w:val="right"/>
          <w:tab w:leader="none" w:pos="9339" w:val="right"/>
          <w:tab w:leader="none" w:pos="136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</w:t>
        <w:tab/>
        <w:t>г.</w:t>
        <w:tab/>
        <w:t>Курган</w:t>
      </w:r>
    </w:p>
    <w:p>
      <w:pPr>
        <w:pStyle w:val="Style25"/>
        <w:tabs>
          <w:tab w:leader="none" w:pos="2227" w:val="left"/>
          <w:tab w:leader="none" w:pos="3701" w:val="left"/>
          <w:tab w:leader="none" w:pos="5553" w:val="left"/>
          <w:tab w:leader="none" w:pos="933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7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</w:t>
        <w:tab/>
        <w:t>Управления</w:t>
        <w:tab/>
        <w:t>Федеральной</w:t>
        <w:tab/>
        <w:t>антимонопольной</w:t>
        <w:tab/>
        <w:t>службы по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5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Курганской области по контролю в сфере закупок на территории Курганской области (далее - Комиссия Курганского У ФАС России) в составе:</w:t>
      </w:r>
    </w:p>
    <w:p>
      <w:pPr>
        <w:pStyle w:val="Style25"/>
        <w:tabs>
          <w:tab w:leader="none" w:pos="2227" w:val="left"/>
          <w:tab w:leader="none" w:pos="3777" w:val="left"/>
          <w:tab w:leader="none" w:pos="5577" w:val="left"/>
          <w:tab w:leader="none" w:pos="933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560" w:firstLine="880"/>
      </w:pPr>
      <w:r>
        <w:rPr>
          <w:rStyle w:val="CharStyle28"/>
        </w:rPr>
        <w:t xml:space="preserve">Заместитель председателя комиссии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Стрижова И.М. - заместитель начальника отдела контроля закупок и антимонопольного регулирования органов власти</w:t>
        <w:tab/>
        <w:t>Управления</w:t>
        <w:tab/>
        <w:t>Федеральной</w:t>
        <w:tab/>
        <w:t>антимонопольной</w:t>
        <w:tab/>
        <w:t>службы по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Курганской области;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1014" w:line="317" w:lineRule="exact"/>
        <w:ind w:left="20" w:right="56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Вохменцев А.С. -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области,</w:t>
      </w:r>
    </w:p>
    <w:p>
      <w:pPr>
        <w:pStyle w:val="Style29"/>
        <w:widowControl w:val="0"/>
        <w:keepNext/>
        <w:keepLines/>
        <w:shd w:val="clear" w:color="auto" w:fill="auto"/>
        <w:bidi w:val="0"/>
        <w:spacing w:before="0" w:after="0" w:line="400" w:lineRule="exact"/>
        <w:ind w:left="0" w:right="32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005191</w:t>
      </w:r>
      <w:bookmarkEnd w:id="1"/>
      <w:r>
        <w:br w:type="page"/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Пигалева М.Ю. -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отсутствие представителя Заказчика - Государственного бюджетного учреждения «Глядянская центральная районная больница» (далее - ГБУ «Глядянская ЦРБ», Заказчик), о времени и месте рассмотрения обращения извещен надлежащим образом, в том числе публично, путем размещения информации о времени и месте рассмотрения жалобы в Единой информационной системе в сфере закупок (далее - ЕИС), явку представителя не обеспечил, представил ходатайство о рассмотрении жалобы в отсутствие представителя, а также письменный возражения на жалобу,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отсутствие представителя Общества с ограниченной ответственностью «ТехСтройПартнер» (далее - ООО «ТехСтройПартнер», Заявитель) о времени и месте рассмотрения обращения извещен надлежащим образом, в том числе публично, путем размещения информации о времени и месте рассмотрения жалобы в Единой информационной системе в сфере закупок (далее - ЕИС), явку представителя не обеспечил, ходатайство о рассмотрении жалобы в отсутствие представителя не представил),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присутствии представителя Уполномоченного учреждения - Государственного казенного учреждения «Центр закупок и бухгалтерского учета Курганской области» - Гаева Е.Е. (доверенность № 11 от 25.09.2020 г.),</w:t>
      </w:r>
    </w:p>
    <w:p>
      <w:pPr>
        <w:pStyle w:val="Style25"/>
        <w:tabs>
          <w:tab w:leader="none" w:pos="680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«ТехСтройПартнер» на действия Заказчика - ГБУ «Глядянская ЦРБ» при осуществлении закупки путем проведения электронного аукциона на выполнение работ по ремонту кровли, помещений на первом и втором этажах здания стационара ГБУ «Глядянская центральная районная больница», расположенного по адресу:</w:t>
        <w:tab/>
        <w:t>Курганская область,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296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Притобольный район, с. Глядянское, ул. Ленина, 125 (извещение № 0843500000221000072) и осуществив внеплановую проверку, руководствуясь статьями 99,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 в сфере закупок),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55" w:line="240" w:lineRule="exact"/>
        <w:ind w:left="40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25"/>
        <w:numPr>
          <w:ilvl w:val="0"/>
          <w:numId w:val="3"/>
        </w:numPr>
        <w:tabs>
          <w:tab w:leader="none" w:pos="216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в Курганское УФАС России поступила жалоба ООО «ТехСтройПартнер» (вх. № 407) на действия Заказчика - Государственного бюджетного учреждения «Глядянская центральная районная больница» при осуществлении закупки путем проведения электронного аукциона на выполнение работ по ремонту кровли, помещений на первом и втором этажах здания стационара ГБУ «Глядянская центральная районная больница», расположенного по адресу: Курганская область, Притобольный район, с. Глядянское, ул. Ленина, 125 (извещение № 0843500000221000072).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жалобе заявитель указал: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составе документации об аукционе в нарушение Приказа министерства строительства и жилищно-коммунального хозяйства Российской Федерации от 23.12.2019 №841/пр, отсутствует протокол начальной (максимальной) цены контракта, а также отсутствует проект сметы контракта.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 просит признать жалобу обоснованной, приостановить определение поставщика, провести внеплановую проверку.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rStyle w:val="CharStyle28"/>
        </w:rPr>
        <w:t xml:space="preserve">Представитель уполномоченного учреждения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доводами, изложенными Заявителем в жалобе, не согласен по основаниям, изложенным в возражениях, которые приобщены к материалам дела по рассмотрению данной жалобы, и просит признать жалобу необоснованной.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rStyle w:val="CharStyle28"/>
        </w:rPr>
        <w:t xml:space="preserve">Руководствуясь административным регламентом по рассмотрению жалоб, утвержденным приказом Федеральной антимонопольной службы России от 19.11.2014 г. № 727/14, ст.ст. 99, 106 Закона о контрактной системе, Комиссией Курганского УФАС России проведена внеплановая проверка, в результате которой установлено,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что 29.01.2021 г. в ЕИС опубликовано извещение о проведении электронного аукциона на выполнение работ по ремонту кровли, помещений на первом и втором этажах здания стационара ГБУ «Глядянская центральная районная больница», расположенного по адресу: Курганская область, Притобольный район, с. Глядянское, ул. Ленина, 125 (извещение № 0843500000221000072).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составляет 10 000 000 рублей 00 копеек.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Заказчиком является ГБУ «Глядянская центральная районная больница».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Уполномоченное учреждение - Государственное казенное учреждение «Центр закупок и бухгалтерского учета Курганской области».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момент рассмотрения жалобы по существу контракт не заключен.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Оценивая доводы Заявителя, изложенные в жалобе, а также документы, представленные Заказчиком и приобщенные к материалам дела по рассмотрению жалобы, Комиссия Курганского УФАС России приходит к следующим выводам.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6 статьи 110.2 Закона о контрактной системе объем, содержание работ по контрактам, предметом которых являются строительство, реконструкция объектов капитального строительства, определяется проектной документацией объектов капитального строительства, а также иной технической документацией, предусмотренной такими контрактами.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части 6.1 статьи 110.2 Закона о контрактной системе, оплата выполненных работ осуществляется в пределах цены контрактов, предметом которых являются строительство, реконструкция объектов капитального строительства, в соответствии с их сметой в сроки и в размерах, которые установлены таким контрактом или графиком оплаты выполненных по контракту работ (при наличии) с учетом графика выполнения строительно - монтажных работ и фактически выполненных подрядчиком работ.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кодексом Российской Федерации сметных нормативов, сведения о которых включены в федеральный реестр сметных нормативов, и сметных цен строительных ресурсов.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приведенной нормы следует, что смета контракта составляется, когда становится определенной цена контракта.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Приказом Минстроя России от 23.12.2019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841/пр утверждена методика составления сметы контракта, предметом которого являются строительство, реконструкция объектов капитального строительства (далее - Методика), согласно приложению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 к настоящему приказу.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1 утвержденной Методики составления сметы контракта, предметом которого являются строительство, реконструкция объектов капитального строительства (далее - Методика), определяет общие правила составления сметы контракта, предметом которого являются строительство, реконструкция объектов капитального строительства, при его заключении и внесении изменений в такой контракт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пунктом 2 Методики </w:t>
      </w:r>
      <w:r>
        <w:rPr>
          <w:rStyle w:val="CharStyle28"/>
        </w:rPr>
        <w:t xml:space="preserve">смета контракта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выполнение подрядных работ по строительству некапитальных строений и сооружений, а также других подрядных работ, указанных в разделе VI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(далее - Порядок), </w:t>
      </w:r>
      <w:r>
        <w:rPr>
          <w:rStyle w:val="CharStyle28"/>
        </w:rPr>
        <w:t xml:space="preserve">по соглашению сторон контракта может быть составлена в соответствии с Методикой,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если в составе документации о закупке размещен проект сметы контракта.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Курганского УФАС России установлено, что предметом аукциона является - капитальный ремонт.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исходя из вышеуказанных норм, у Заказчика отсутствует обязанность по составлению и размещению в составе аукционной документации проекта сметы контракта и протокола определения НМЦК.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пункта 34 Приказа № 841/пр в проекте сметы контракта указывается наименование, единица измерения, количество (объем) конструктивных решений (элементов), комплексов (видов) работ, цена каждого конструктивного решения (элемента) и (или) комплекса (вида) работ на единицу измерения и с учетом объемов работ, определенные в пределах НМЦК на выполнение подрядных работ, а также цена конструктивных решений (элементов), комплексов (видов) работ (на принятую единицу измерения и всего).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Следует отметить, что указанная информация содержится в сметных расчетах, которые размещены в составе аукционной документации, следовательно, в данном случае сметные расчеты будут являться проектом сметы контракта.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доводы жалобы по своей сути указывают на нарушения при порядке обоснования начальной (максимальной) цены контракта.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Вместе с тем, согласно части 3 статьи 99 Закона о контрактной системе ФАС России осуществляет контроль в сфере закупок, за исключением контроля,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предусмотренного частями 5,8 и 10 данной статьи.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3 части 8 статьи 99 Закона о контрактной системе установлено, что контроль за соблюдением требований к обоснованию начальной (максимальной) цены контракта, цены контракта, заключенного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 осуществляют органы внутреннего государственного (муниципального) финансового контроля. Таким образом, рассмотрение доводов ООО "ТехСтройПартнер" о несоблюдении требований к определению и обоснованию начальной (максимальной) цены контракта при проведении электронного аукциона не относится к полномочиям Комиссии Курганского УФАС России.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Относительно довода Заявителя о нарушении Заказчиком положений Приказа министерства строительства и жилищно-коммунального хозяйства Российской Федерации от 23.12.2019 №841/пр Комиссия Курганского УФАС России отмечает следующее.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результате проведения внеплановой проверки вышеуказанной закупки, Комиссией Курганского УФАС России нарушения требований действующего законодательства в сфере закупок товаров, работ, услуг для обеспечения государственных и муниципальных нужд также не установлены.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356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Исследовав предоставленные материалы, руководствуясь статьей 106 Закона о контрактной системе в сфере закупок, руководствуясь административным регламентом по рассмотрению жалоб, утвержденным приказом Федеральной антимонопольной службы России от 19.11.2014 № 727/14, ст.ст. 99, 106 Закона о контрактной системе, Комиссией Курганского УФАС России,</w:t>
      </w:r>
    </w:p>
    <w:p>
      <w:pPr>
        <w:pStyle w:val="Style31"/>
        <w:widowControl w:val="0"/>
        <w:keepNext/>
        <w:keepLines/>
        <w:shd w:val="clear" w:color="auto" w:fill="auto"/>
        <w:bidi w:val="0"/>
        <w:jc w:val="left"/>
        <w:spacing w:before="0" w:after="311" w:line="240" w:lineRule="exact"/>
        <w:ind w:left="4380" w:right="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  <w:bookmarkEnd w:id="2"/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312" w:line="240" w:lineRule="exact"/>
        <w:ind w:left="20" w:right="0" w:firstLine="720"/>
      </w:pPr>
      <w:r>
        <w:rPr>
          <w:rStyle w:val="CharStyle28"/>
        </w:rPr>
        <w:t>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. Признать жалобу </w:t>
      </w:r>
      <w:r>
        <w:rPr>
          <w:rStyle w:val="CharStyle28"/>
        </w:rPr>
        <w:t xml:space="preserve">ООО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«ТехСтройПартнер» </w:t>
      </w:r>
      <w:r>
        <w:rPr>
          <w:rStyle w:val="CharStyle28"/>
        </w:rPr>
        <w:t>необоснованной.</w:t>
      </w:r>
    </w:p>
    <w:sectPr>
      <w:type w:val="continuous"/>
      <w:pgSz w:w="11906" w:h="16838"/>
      <w:pgMar w:top="594" w:left="1082" w:right="913" w:bottom="96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11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05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4"/>
    </w:rPr>
  </w:style>
  <w:style w:type="character" w:customStyle="1" w:styleId="CharStyle5">
    <w:name w:val="Основной текст (5) Exact"/>
    <w:basedOn w:val="CharStyle23"/>
    <w:rPr>
      <w:sz w:val="16"/>
      <w:szCs w:val="16"/>
      <w:spacing w:val="4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4">
    <w:name w:val="Основной текст (4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Основной текст (4) + 8,5 pt"/>
    <w:basedOn w:val="CharStyle13"/>
    <w:rPr>
      <w:lang w:val="en-US" w:eastAsia="en-US" w:bidi="en-US"/>
      <w:sz w:val="17"/>
      <w:szCs w:val="17"/>
      <w:w w:val="100"/>
      <w:spacing w:val="0"/>
      <w:color w:val="000000"/>
      <w:position w:val="0"/>
    </w:rPr>
  </w:style>
  <w:style w:type="character" w:customStyle="1" w:styleId="CharStyle16">
    <w:name w:val="Основной текст (4) + 8,5 pt"/>
    <w:basedOn w:val="CharStyle13"/>
    <w:rPr>
      <w:lang w:val="en-US" w:eastAsia="en-US" w:bidi="en-US"/>
      <w:u w:val="single"/>
      <w:sz w:val="17"/>
      <w:szCs w:val="17"/>
      <w:w w:val="100"/>
      <w:spacing w:val="0"/>
      <w:color w:val="000000"/>
      <w:position w:val="0"/>
    </w:rPr>
  </w:style>
  <w:style w:type="character" w:customStyle="1" w:styleId="CharStyle18">
    <w:name w:val="Заголовок №2_"/>
    <w:basedOn w:val="DefaultParagraphFont"/>
    <w:link w:val="Style17"/>
    <w:rPr>
      <w:lang w:val="en-US" w:eastAsia="en-US" w:bidi="en-US"/>
      <w:b w:val="0"/>
      <w:bCs w:val="0"/>
      <w:i/>
      <w:iCs/>
      <w:u w:val="none"/>
      <w:strike w:val="0"/>
      <w:smallCaps w:val="0"/>
      <w:sz w:val="26"/>
      <w:szCs w:val="26"/>
      <w:rFonts w:ascii="Franklin Gothic Medium" w:eastAsia="Franklin Gothic Medium" w:hAnsi="Franklin Gothic Medium" w:cs="Franklin Gothic Medium"/>
      <w:spacing w:val="-10"/>
    </w:rPr>
  </w:style>
  <w:style w:type="character" w:customStyle="1" w:styleId="CharStyle19">
    <w:name w:val="Заголовок №2"/>
    <w:basedOn w:val="CharStyle18"/>
    <w:rPr>
      <w:w w:val="100"/>
      <w:color w:val="000000"/>
      <w:position w:val="0"/>
    </w:rPr>
  </w:style>
  <w:style w:type="character" w:customStyle="1" w:styleId="CharStyle20">
    <w:name w:val="Заголовок №2"/>
    <w:basedOn w:val="CharStyle18"/>
    <w:rPr>
      <w:u w:val="single"/>
      <w:w w:val="100"/>
      <w:color w:val="000000"/>
      <w:position w:val="0"/>
    </w:rPr>
  </w:style>
  <w:style w:type="character" w:customStyle="1" w:styleId="CharStyle21">
    <w:name w:val="Заголовок №2 + Impact,6,5 pt,Не курсив,Интервал 0 pt"/>
    <w:basedOn w:val="CharStyle18"/>
    <w:rPr>
      <w:i/>
      <w:iCs/>
      <w:sz w:val="13"/>
      <w:szCs w:val="13"/>
      <w:rFonts w:ascii="Impact" w:eastAsia="Impact" w:hAnsi="Impact" w:cs="Impact"/>
      <w:w w:val="100"/>
      <w:spacing w:val="0"/>
      <w:color w:val="000000"/>
      <w:position w:val="0"/>
    </w:rPr>
  </w:style>
  <w:style w:type="character" w:customStyle="1" w:styleId="CharStyle22">
    <w:name w:val="Заголовок №2 + Impact,6,5 pt,Не курсив,Интервал 0 pt"/>
    <w:basedOn w:val="CharStyle18"/>
    <w:rPr>
      <w:lang w:val="ru-RU" w:eastAsia="ru-RU" w:bidi="ru-RU"/>
      <w:i/>
      <w:iCs/>
      <w:sz w:val="13"/>
      <w:szCs w:val="13"/>
      <w:rFonts w:ascii="Impact" w:eastAsia="Impact" w:hAnsi="Impact" w:cs="Impact"/>
      <w:w w:val="100"/>
      <w:spacing w:val="0"/>
      <w:color w:val="000000"/>
      <w:position w:val="0"/>
    </w:rPr>
  </w:style>
  <w:style w:type="character" w:customStyle="1" w:styleId="CharStyle23">
    <w:name w:val="Основной текст (5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24">
    <w:name w:val="Основной текст (5)"/>
    <w:basedOn w:val="CharStyle2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6">
    <w:name w:val="Основной текст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7">
    <w:name w:val="Основной текст"/>
    <w:basedOn w:val="CharStyle26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8">
    <w:name w:val="Основной текст + Полужирный"/>
    <w:basedOn w:val="CharStyle26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0">
    <w:name w:val="Заголовок №1_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sz w:val="40"/>
      <w:szCs w:val="40"/>
      <w:rFonts w:ascii="Times New Roman" w:eastAsia="Times New Roman" w:hAnsi="Times New Roman" w:cs="Times New Roman"/>
      <w:spacing w:val="30"/>
    </w:rPr>
  </w:style>
  <w:style w:type="character" w:customStyle="1" w:styleId="CharStyle32">
    <w:name w:val="Заголовок №3_"/>
    <w:basedOn w:val="DefaultParagraphFont"/>
    <w:link w:val="Style31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5)"/>
    <w:basedOn w:val="Normal"/>
    <w:link w:val="CharStyle23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180" w:after="180" w:line="256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180" w:after="60" w:line="31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center"/>
      <w:spacing w:before="60" w:after="360" w:line="209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7">
    <w:name w:val="Заголовок №2"/>
    <w:basedOn w:val="Normal"/>
    <w:link w:val="CharStyle18"/>
    <w:pPr>
      <w:widowControl w:val="0"/>
      <w:shd w:val="clear" w:color="auto" w:fill="FFFFFF"/>
      <w:jc w:val="both"/>
      <w:outlineLvl w:val="1"/>
      <w:spacing w:before="360" w:after="18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6"/>
      <w:szCs w:val="26"/>
      <w:rFonts w:ascii="Franklin Gothic Medium" w:eastAsia="Franklin Gothic Medium" w:hAnsi="Franklin Gothic Medium" w:cs="Franklin Gothic Medium"/>
      <w:spacing w:val="-10"/>
    </w:rPr>
  </w:style>
  <w:style w:type="paragraph" w:customStyle="1" w:styleId="Style25">
    <w:name w:val="Основной текст"/>
    <w:basedOn w:val="Normal"/>
    <w:link w:val="CharStyle26"/>
    <w:pPr>
      <w:widowControl w:val="0"/>
      <w:shd w:val="clear" w:color="auto" w:fill="FFFFFF"/>
      <w:spacing w:after="240" w:line="31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9">
    <w:name w:val="Заголовок №1"/>
    <w:basedOn w:val="Normal"/>
    <w:link w:val="CharStyle30"/>
    <w:pPr>
      <w:widowControl w:val="0"/>
      <w:shd w:val="clear" w:color="auto" w:fill="FFFFFF"/>
      <w:jc w:val="right"/>
      <w:outlineLvl w:val="0"/>
      <w:spacing w:before="1080" w:line="0" w:lineRule="exact"/>
    </w:pPr>
    <w:rPr>
      <w:b w:val="0"/>
      <w:bCs w:val="0"/>
      <w:i w:val="0"/>
      <w:iCs w:val="0"/>
      <w:u w:val="none"/>
      <w:strike w:val="0"/>
      <w:smallCaps w:val="0"/>
      <w:sz w:val="40"/>
      <w:szCs w:val="40"/>
      <w:rFonts w:ascii="Times New Roman" w:eastAsia="Times New Roman" w:hAnsi="Times New Roman" w:cs="Times New Roman"/>
      <w:spacing w:val="30"/>
    </w:rPr>
  </w:style>
  <w:style w:type="paragraph" w:customStyle="1" w:styleId="Style31">
    <w:name w:val="Заголовок №3"/>
    <w:basedOn w:val="Normal"/>
    <w:link w:val="CharStyle32"/>
    <w:pPr>
      <w:widowControl w:val="0"/>
      <w:shd w:val="clear" w:color="auto" w:fill="FFFFFF"/>
      <w:outlineLvl w:val="2"/>
      <w:spacing w:before="300"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