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20" w:right="900" w:firstLine="0"/>
      </w:pPr>
      <w:r>
        <w:rPr>
          <w:lang w:val="ru-RU" w:eastAsia="ru-RU" w:bidi="ru-RU"/>
          <w:w w:val="100"/>
          <w:spacing w:val="0"/>
          <w:color w:val="000000"/>
          <w:position w:val="0"/>
        </w:rPr>
        <w:t>ГБУК г. Москвы «Московский государственный объединенный художественный историко</w:t>
        <w:softHyphen/>
        <w:t>архитектурный</w:t>
      </w:r>
    </w:p>
    <w:p>
      <w:pPr>
        <w:pStyle w:val="Style5"/>
        <w:widowControl w:val="0"/>
        <w:keepNext w:val="0"/>
        <w:keepLines w:val="0"/>
        <w:shd w:val="clear" w:color="auto" w:fill="auto"/>
        <w:bidi w:val="0"/>
        <w:jc w:val="left"/>
        <w:spacing w:before="0" w:after="349"/>
        <w:ind w:left="5320" w:right="900" w:firstLine="0"/>
      </w:pPr>
      <w:r>
        <w:rPr>
          <w:lang w:val="ru-RU" w:eastAsia="ru-RU" w:bidi="ru-RU"/>
          <w:w w:val="100"/>
          <w:spacing w:val="0"/>
          <w:color w:val="000000"/>
          <w:position w:val="0"/>
        </w:rPr>
        <w:t>и природно-ландшафтный музей- заповедник»</w:t>
      </w:r>
    </w:p>
    <w:p>
      <w:pPr>
        <w:pStyle w:val="Style5"/>
        <w:widowControl w:val="0"/>
        <w:keepNext w:val="0"/>
        <w:keepLines w:val="0"/>
        <w:shd w:val="clear" w:color="auto" w:fill="auto"/>
        <w:bidi w:val="0"/>
        <w:jc w:val="left"/>
        <w:spacing w:before="0" w:after="2" w:line="260" w:lineRule="exact"/>
        <w:ind w:left="5320" w:right="0" w:firstLine="0"/>
      </w:pPr>
      <w:r>
        <w:rPr>
          <w:lang w:val="ru-RU" w:eastAsia="ru-RU" w:bidi="ru-RU"/>
          <w:w w:val="100"/>
          <w:spacing w:val="0"/>
          <w:color w:val="000000"/>
          <w:position w:val="0"/>
        </w:rPr>
        <w:t>пр-т Андропова, д. 39, г. Москва,</w:t>
      </w:r>
    </w:p>
    <w:p>
      <w:pPr>
        <w:pStyle w:val="Style5"/>
        <w:widowControl w:val="0"/>
        <w:keepNext w:val="0"/>
        <w:keepLines w:val="0"/>
        <w:shd w:val="clear" w:color="auto" w:fill="auto"/>
        <w:bidi w:val="0"/>
        <w:jc w:val="left"/>
        <w:spacing w:before="0" w:after="298" w:line="260" w:lineRule="exact"/>
        <w:ind w:left="5320" w:right="0" w:firstLine="0"/>
      </w:pPr>
      <w:r>
        <w:rPr>
          <w:lang w:val="ru-RU" w:eastAsia="ru-RU" w:bidi="ru-RU"/>
          <w:w w:val="100"/>
          <w:spacing w:val="0"/>
          <w:color w:val="000000"/>
          <w:position w:val="0"/>
        </w:rPr>
        <w:t xml:space="preserve">115487, </w:t>
      </w:r>
      <w:r>
        <w:fldChar w:fldCharType="begin"/>
      </w:r>
      <w:r>
        <w:rPr>
          <w:color w:val="000000"/>
        </w:rPr>
        <w:instrText> HYPERLINK "mailto:tender.mgomz@mail.ru" </w:instrText>
      </w:r>
      <w:r>
        <w:fldChar w:fldCharType="separate"/>
      </w:r>
      <w:r>
        <w:rPr>
          <w:rStyle w:val="Hyperlink"/>
          <w:lang w:val="en-US" w:eastAsia="en-US" w:bidi="en-US"/>
          <w:w w:val="100"/>
          <w:spacing w:val="0"/>
          <w:position w:val="0"/>
        </w:rPr>
        <w:t>tender.mgomz@mail.ru</w:t>
      </w:r>
      <w:r>
        <w:fldChar w:fldCharType="end"/>
      </w:r>
    </w:p>
    <w:p>
      <w:pPr>
        <w:pStyle w:val="Style5"/>
        <w:widowControl w:val="0"/>
        <w:keepNext w:val="0"/>
        <w:keepLines w:val="0"/>
        <w:shd w:val="clear" w:color="auto" w:fill="auto"/>
        <w:bidi w:val="0"/>
        <w:jc w:val="left"/>
        <w:spacing w:before="0" w:after="300"/>
        <w:ind w:left="5320" w:right="20" w:firstLine="0"/>
      </w:pPr>
      <w:r>
        <w:rPr>
          <w:lang w:val="ru-RU" w:eastAsia="ru-RU" w:bidi="ru-RU"/>
          <w:w w:val="100"/>
          <w:spacing w:val="0"/>
          <w:color w:val="000000"/>
          <w:position w:val="0"/>
        </w:rPr>
        <w:t>ГКУ «Технический центр Департамента культуры города Москвы»</w:t>
      </w:r>
    </w:p>
    <w:p>
      <w:pPr>
        <w:pStyle w:val="Style5"/>
        <w:widowControl w:val="0"/>
        <w:keepNext w:val="0"/>
        <w:keepLines w:val="0"/>
        <w:shd w:val="clear" w:color="auto" w:fill="auto"/>
        <w:bidi w:val="0"/>
        <w:jc w:val="left"/>
        <w:spacing w:before="0" w:after="349"/>
        <w:ind w:left="5320" w:right="20" w:firstLine="0"/>
      </w:pPr>
      <w:r>
        <w:rPr>
          <w:lang w:val="ru-RU" w:eastAsia="ru-RU" w:bidi="ru-RU"/>
          <w:w w:val="100"/>
          <w:spacing w:val="0"/>
          <w:color w:val="000000"/>
          <w:position w:val="0"/>
        </w:rPr>
        <w:t xml:space="preserve">Цветной б-р., д. 30, стр. 1, эт. 5, г. Москва, </w:t>
      </w:r>
      <w:r>
        <w:rPr>
          <w:lang w:val="en-US" w:eastAsia="en-US" w:bidi="en-US"/>
          <w:w w:val="100"/>
          <w:spacing w:val="0"/>
          <w:color w:val="000000"/>
          <w:position w:val="0"/>
        </w:rPr>
        <w:t>127051,</w:t>
      </w:r>
      <w:r>
        <w:fldChar w:fldCharType="begin"/>
      </w:r>
      <w:r>
        <w:rPr>
          <w:color w:val="000000"/>
        </w:rPr>
        <w:instrText> HYPERLINK "mailto:zakupki@culture.mos.ru" </w:instrText>
      </w:r>
      <w:r>
        <w:fldChar w:fldCharType="separate"/>
      </w:r>
      <w:r>
        <w:rPr>
          <w:rStyle w:val="Hyperlink"/>
          <w:lang w:val="en-US" w:eastAsia="en-US" w:bidi="en-US"/>
          <w:w w:val="100"/>
          <w:spacing w:val="0"/>
          <w:position w:val="0"/>
        </w:rPr>
        <w:t>zakupki@culture.mos.ru</w:t>
      </w:r>
      <w:r>
        <w:fldChar w:fldCharType="end"/>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ИП Рожков К.В.</w:t>
      </w:r>
    </w:p>
    <w:p>
      <w:pPr>
        <w:pStyle w:val="Style5"/>
        <w:widowControl w:val="0"/>
        <w:keepNext w:val="0"/>
        <w:keepLines w:val="0"/>
        <w:shd w:val="clear" w:color="auto" w:fill="auto"/>
        <w:bidi w:val="0"/>
        <w:jc w:val="left"/>
        <w:spacing w:before="0" w:after="1440"/>
        <w:ind w:left="5320" w:right="20" w:firstLine="0"/>
      </w:pPr>
      <w:r>
        <w:rPr>
          <w:lang w:val="ru-RU" w:eastAsia="ru-RU" w:bidi="ru-RU"/>
          <w:w w:val="100"/>
          <w:spacing w:val="0"/>
          <w:color w:val="000000"/>
          <w:position w:val="0"/>
        </w:rPr>
        <w:t xml:space="preserve">пер. Базовый, д. 52, г. Екатеринбург, 620089, </w:t>
      </w:r>
      <w:r>
        <w:fldChar w:fldCharType="begin"/>
      </w:r>
      <w:r>
        <w:rPr>
          <w:color w:val="000000"/>
        </w:rPr>
        <w:instrText> HYPERLINK "mailto:79222546350@yandex.ru" </w:instrText>
      </w:r>
      <w:r>
        <w:fldChar w:fldCharType="separate"/>
      </w:r>
      <w:r>
        <w:rPr>
          <w:rStyle w:val="Hyperlink"/>
          <w:lang w:val="en-US" w:eastAsia="en-US" w:bidi="en-US"/>
          <w:w w:val="100"/>
          <w:spacing w:val="0"/>
          <w:position w:val="0"/>
        </w:rPr>
        <w:t>79222546350@yandex.ru</w:t>
      </w:r>
      <w:r>
        <w:fldChar w:fldCharType="end"/>
      </w:r>
    </w:p>
    <w:p>
      <w:pPr>
        <w:pStyle w:val="Style7"/>
        <w:tabs>
          <w:tab w:leader="none" w:pos="10076" w:val="right"/>
        </w:tabs>
        <w:widowControl w:val="0"/>
        <w:keepNext w:val="0"/>
        <w:keepLines w:val="0"/>
        <w:shd w:val="clear" w:color="auto" w:fill="auto"/>
        <w:bidi w:val="0"/>
        <w:jc w:val="left"/>
        <w:spacing w:before="0" w:after="0"/>
        <w:ind w:left="20" w:right="160"/>
      </w:pPr>
      <w:r>
        <w:rPr>
          <w:lang w:val="ru-RU" w:eastAsia="ru-RU" w:bidi="ru-RU"/>
          <w:w w:val="100"/>
          <w:spacing w:val="0"/>
          <w:color w:val="000000"/>
          <w:position w:val="0"/>
        </w:rPr>
        <w:t>РЕШЕНИЕ по делу № 077/06/106-1787/2021 о нарушении законодательства о контрактной системе 08.02.2021</w:t>
        <w:tab/>
        <w:t>Москва</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Заместителя председателя Комиссии — заместителя начальника отдела обжалования государственных закупок Д.С. Грешневой,</w:t>
      </w:r>
    </w:p>
    <w:p>
      <w:pPr>
        <w:pStyle w:val="Style5"/>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 Кутейникова,</w:t>
      </w:r>
    </w:p>
    <w:p>
      <w:pPr>
        <w:pStyle w:val="Style5"/>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Специалиста-эксперта отдела обжалования государственных закупок</w:t>
      </w:r>
    </w:p>
    <w:p>
      <w:pPr>
        <w:pStyle w:val="Style5"/>
        <w:numPr>
          <w:ilvl w:val="0"/>
          <w:numId w:val="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 Матвеева,</w:t>
      </w:r>
    </w:p>
    <w:p>
      <w:pPr>
        <w:pStyle w:val="Style3"/>
        <w:framePr w:w="1349" w:h="427" w:wrap="around" w:vAnchor="text" w:hAnchor="margin" w:x="351" w:y="1383"/>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001320126400</w:t>
      </w:r>
    </w:p>
    <w:p>
      <w:pPr>
        <w:pStyle w:val="Style5"/>
        <w:widowControl w:val="0"/>
        <w:keepNext w:val="0"/>
        <w:keepLines w:val="0"/>
        <w:shd w:val="clear" w:color="auto" w:fill="auto"/>
        <w:bidi w:val="0"/>
        <w:jc w:val="both"/>
        <w:spacing w:before="0" w:after="356"/>
        <w:ind w:left="20" w:right="20" w:firstLine="560"/>
        <w:sectPr>
          <w:footnotePr>
            <w:pos w:val="pageBottom"/>
            <w:numFmt w:val="decimal"/>
            <w:numRestart w:val="continuous"/>
          </w:footnotePr>
          <w:type w:val="continuous"/>
          <w:pgSz w:w="11906" w:h="16838"/>
          <w:pgMar w:top="671" w:left="843" w:right="853" w:bottom="1170" w:header="0" w:footer="3" w:gutter="0"/>
          <w:rtlGutter w:val="0"/>
          <w:cols w:space="720"/>
          <w:noEndnote/>
          <w:docGrid w:linePitch="360"/>
        </w:sectPr>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 92- УМ «О внесении изменений в правовые акты города Москвы» и предупреждения</w:t>
      </w:r>
    </w:p>
    <w:p>
      <w:pPr>
        <w:pStyle w:val="Style5"/>
        <w:widowControl w:val="0"/>
        <w:keepNext w:val="0"/>
        <w:keepLines w:val="0"/>
        <w:shd w:val="clear" w:color="auto" w:fill="auto"/>
        <w:bidi w:val="0"/>
        <w:jc w:val="left"/>
        <w:spacing w:before="0" w:after="0"/>
        <w:ind w:left="580" w:right="20"/>
      </w:pPr>
      <w:r>
        <w:rPr>
          <w:lang w:val="ru-RU" w:eastAsia="ru-RU" w:bidi="ru-RU"/>
          <w:w w:val="100"/>
          <w:spacing w:val="0"/>
          <w:color w:val="000000"/>
          <w:position w:val="0"/>
        </w:rPr>
        <w:t xml:space="preserve">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w:t>
      </w:r>
    </w:p>
    <w:p>
      <w:pPr>
        <w:pStyle w:val="Style5"/>
        <w:tabs>
          <w:tab w:leader="none" w:pos="10176" w:val="right"/>
        </w:tabs>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ГБУК г. Москвы «Московский государственный объединенный художественный историко-архитектурный и природно-ландшафтный музей-заповедник»:</w:t>
        <w:tab/>
        <w:t>Т.И.</w:t>
      </w:r>
    </w:p>
    <w:p>
      <w:pPr>
        <w:pStyle w:val="Style5"/>
        <w:widowControl w:val="0"/>
        <w:keepNext w:val="0"/>
        <w:keepLines w:val="0"/>
        <w:shd w:val="clear" w:color="auto" w:fill="auto"/>
        <w:bidi w:val="0"/>
        <w:jc w:val="both"/>
        <w:spacing w:before="0" w:after="0"/>
        <w:ind w:left="0" w:right="0" w:firstLine="0"/>
      </w:pPr>
      <w:r>
        <w:rPr>
          <w:lang w:val="ru-RU" w:eastAsia="ru-RU" w:bidi="ru-RU"/>
          <w:w w:val="100"/>
          <w:spacing w:val="0"/>
          <w:color w:val="000000"/>
          <w:position w:val="0"/>
        </w:rPr>
        <w:t>Салькаева (по доверенности от 11.01.2021 №31-01-14-1/21),</w:t>
      </w:r>
    </w:p>
    <w:p>
      <w:pPr>
        <w:pStyle w:val="Style5"/>
        <w:widowControl w:val="0"/>
        <w:keepNext w:val="0"/>
        <w:keepLines w:val="0"/>
        <w:shd w:val="clear" w:color="auto" w:fill="auto"/>
        <w:bidi w:val="0"/>
        <w:jc w:val="both"/>
        <w:spacing w:before="0" w:after="0" w:line="283" w:lineRule="exact"/>
        <w:ind w:left="0" w:right="0" w:firstLine="560"/>
      </w:pPr>
      <w:r>
        <w:rPr>
          <w:lang w:val="ru-RU" w:eastAsia="ru-RU" w:bidi="ru-RU"/>
          <w:w w:val="100"/>
          <w:spacing w:val="0"/>
          <w:color w:val="000000"/>
          <w:position w:val="0"/>
        </w:rPr>
        <w:t>ГКУ «Технический центр Департамента культуры города Москвы»:</w:t>
      </w:r>
    </w:p>
    <w:p>
      <w:pPr>
        <w:pStyle w:val="Style5"/>
        <w:tabs>
          <w:tab w:leader="none" w:pos="658" w:val="left"/>
        </w:tabs>
        <w:widowControl w:val="0"/>
        <w:keepNext w:val="0"/>
        <w:keepLines w:val="0"/>
        <w:shd w:val="clear" w:color="auto" w:fill="auto"/>
        <w:bidi w:val="0"/>
        <w:jc w:val="both"/>
        <w:spacing w:before="0" w:after="0" w:line="283" w:lineRule="exact"/>
        <w:ind w:left="0" w:right="0" w:firstLine="0"/>
      </w:pPr>
      <w:r>
        <w:rPr>
          <w:lang w:val="ru-RU" w:eastAsia="ru-RU" w:bidi="ru-RU"/>
          <w:w w:val="100"/>
          <w:spacing w:val="0"/>
          <w:color w:val="000000"/>
          <w:position w:val="0"/>
        </w:rPr>
        <w:t>Н.М. Барановой (по доверенности от 20.01.2021 №ТЦ-15-7/21),</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 отсутствие представителей ИП Рожков К.В., о времени и порядке рассмотрения уведомленных письмом Московского УФАС России исх. №ЕИ/5714/21 от 03.02.2021,</w:t>
      </w:r>
    </w:p>
    <w:p>
      <w:pPr>
        <w:pStyle w:val="Style5"/>
        <w:widowControl w:val="0"/>
        <w:keepNext w:val="0"/>
        <w:keepLines w:val="0"/>
        <w:shd w:val="clear" w:color="auto" w:fill="auto"/>
        <w:bidi w:val="0"/>
        <w:jc w:val="both"/>
        <w:spacing w:before="0" w:after="300"/>
        <w:ind w:left="0" w:right="20" w:firstLine="560"/>
      </w:pPr>
      <w:r>
        <w:rPr>
          <w:lang w:val="ru-RU" w:eastAsia="ru-RU" w:bidi="ru-RU"/>
          <w:w w:val="100"/>
          <w:spacing w:val="0"/>
          <w:color w:val="000000"/>
          <w:position w:val="0"/>
        </w:rPr>
        <w:t>рассмотрев жалобу ИП Рожков К.В. (далее — Заявитель) на действия ГБУК г. Москвы «Московский государственный объединенный художественный историко</w:t>
        <w:softHyphen/>
        <w:t>архитектурный и природно-ландшафтный музей-заповедник» (далее-Заказчик) при проведении электронного аукциона на право заключения государственного контракта на поставку велопарковок для нужд МГОМЗ (Закупка № 0373200138221000002)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w:t>
      </w:r>
    </w:p>
    <w:p>
      <w:pPr>
        <w:pStyle w:val="Style9"/>
        <w:widowControl w:val="0"/>
        <w:keepNext/>
        <w:keepLines/>
        <w:shd w:val="clear" w:color="auto" w:fill="auto"/>
        <w:bidi w:val="0"/>
        <w:jc w:val="left"/>
        <w:spacing w:before="0" w:after="0"/>
        <w:ind w:left="43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исх. №ЕИ/5714/21 от 03.02.2021.</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В результате рассмотрения жалобы, рассмотрев представленные документы и сведения, Комиссия Управления установила следующее.</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 1 ч.1 ст.33 Закона о контрактной системе установлено, что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соответствии с п.2 ст.42 Закона о контрактной системе в извещении об осуществлении закупки должна содержаться, если иное не предусмотрено Законом о контрактной системе, следующая информация: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составе жалобы Заявитель указывает, что в приложении №1 к Техническому задании Заказчиком установлен неисполнимый срок представления образца товара, а именно «Перед началом поставки предоставить образец велопарковки на согласование Заказчику в течение 1 (одного) рабочего дня с даты заключения Контракта», поскольку по мнению Заявителя поставщику находящиеся за пределами Москвы Московской области лишены возможности представить образец товара в столь короткий срок.</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На заседании Комиссии Управления представители Заказчика пояснили, что в Спецификации представлена визуализация (эскиз) велопарковки с указанием размерных характеристик, в связи с чем, предоставление единственного, технически не сложного образца велопарковки на согласование Заказчику в течение 1 (одного) рабочего дня с даты заключения Контракта является разумным и реальным.</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Также представители Заказчика пояснил, что на участие в закупке подано 17 заявок, что так же свидетельствует о возможности поставки товаров в соответствии с условиями, указанными в аукционной документации. При этом среди заявок признанных соответствующими требованиям аукционной документации так же представлены заявки из других регионов страны.</w:t>
      </w:r>
    </w:p>
    <w:p>
      <w:pPr>
        <w:pStyle w:val="Style5"/>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В силу ч.9 ст.105 Закона о контрактной системе обязанность доказывания нарушения Заказчиком своих прав и законных интересов лежит на подателе жалобы, однако в заседании Комиссии Управления Заявитель участия не принял, при этом в составе жалобы не представлены документы и сведения, подтверждающие невозможность формирования заявки на участие в закупке, а также свидетельствующие о нарушении Заказчиком положений действующего законодательства Российской Федерации.</w:t>
      </w:r>
    </w:p>
    <w:p>
      <w:pPr>
        <w:pStyle w:val="Style5"/>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Кроме того, Комиссия Управления отмечает, что Закон о контрактной системе не обязывает Заказчика при формировании документации об электронном аукционе устанавливать такие условия определения поставщика, которые соответствовали бы всем существующим на рынке поставщикам.</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Таким образом, Комиссия Управления приходит к выводу, что данный довод Заявителя не нашел своего подтверждения и является необоснованным.</w:t>
      </w:r>
    </w:p>
    <w:p>
      <w:pPr>
        <w:pStyle w:val="Style5"/>
        <w:widowControl w:val="0"/>
        <w:keepNext w:val="0"/>
        <w:keepLines w:val="0"/>
        <w:shd w:val="clear" w:color="auto" w:fill="auto"/>
        <w:bidi w:val="0"/>
        <w:jc w:val="both"/>
        <w:spacing w:before="0" w:after="289"/>
        <w:ind w:left="0" w:right="20" w:firstLine="5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9"/>
        <w:widowControl w:val="0"/>
        <w:keepNext/>
        <w:keepLines/>
        <w:shd w:val="clear" w:color="auto" w:fill="auto"/>
        <w:bidi w:val="0"/>
        <w:jc w:val="left"/>
        <w:spacing w:before="0" w:after="0" w:line="260" w:lineRule="exact"/>
        <w:ind w:left="4540" w:right="0" w:firstLine="0"/>
      </w:pPr>
      <w:bookmarkStart w:id="1" w:name="bookmark1"/>
      <w:r>
        <w:rPr>
          <w:lang w:val="ru-RU" w:eastAsia="ru-RU" w:bidi="ru-RU"/>
          <w:w w:val="100"/>
          <w:spacing w:val="0"/>
          <w:color w:val="000000"/>
          <w:position w:val="0"/>
        </w:rPr>
        <w:t>Р Е Ш И Л А:</w:t>
      </w:r>
      <w:bookmarkEnd w:id="1"/>
    </w:p>
    <w:p>
      <w:pPr>
        <w:pStyle w:val="Style5"/>
        <w:numPr>
          <w:ilvl w:val="0"/>
          <w:numId w:val="3"/>
        </w:numPr>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Признать жалобу ИП Рожков К.В. на действия ГБУК г. Москвы «Московский государственный объединенный художественный историко-архитектурный и природно-ландшафтный музей-заповедник» необоснованной.</w:t>
      </w:r>
    </w:p>
    <w:p>
      <w:pPr>
        <w:pStyle w:val="Style5"/>
        <w:numPr>
          <w:ilvl w:val="0"/>
          <w:numId w:val="3"/>
        </w:numPr>
        <w:widowControl w:val="0"/>
        <w:keepNext w:val="0"/>
        <w:keepLines w:val="0"/>
        <w:shd w:val="clear" w:color="auto" w:fill="auto"/>
        <w:bidi w:val="0"/>
        <w:jc w:val="both"/>
        <w:spacing w:before="0" w:after="240"/>
        <w:ind w:left="0" w:right="20" w:firstLine="560"/>
      </w:pPr>
      <w:r>
        <w:rPr>
          <w:lang w:val="ru-RU" w:eastAsia="ru-RU" w:bidi="ru-RU"/>
          <w:w w:val="100"/>
          <w:spacing w:val="0"/>
          <w:color w:val="000000"/>
          <w:position w:val="0"/>
        </w:rPr>
        <w:t>Снять ограничения, наложенные на определение поставщика (подрядчика, исполнителя) письмом Московского УФАС России №ЕИ/5714/21 от 03.02.2021.</w:t>
      </w:r>
    </w:p>
    <w:p>
      <w:pPr>
        <w:pStyle w:val="Style5"/>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Решение может быть обжаловано в судебном порядке в Арбитражном суде г.Москвы в течение 3 (трех) месяцев с даты его принятия в порядке, установленным гл. 24 АПК РФ.</w:t>
      </w:r>
    </w:p>
    <w:p>
      <w:pPr>
        <w:pStyle w:val="Style5"/>
        <w:tabs>
          <w:tab w:leader="none" w:pos="8616" w:val="center"/>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Заместитель председателя Комиссии</w:t>
        <w:tab/>
        <w:t>Д.С.</w:t>
        <w:tab/>
        <w:t>Грешнева</w:t>
      </w:r>
    </w:p>
    <w:p>
      <w:pPr>
        <w:pStyle w:val="Style5"/>
        <w:tabs>
          <w:tab w:leader="none" w:pos="8842" w:val="center"/>
          <w:tab w:leader="none" w:pos="10147" w:val="right"/>
        </w:tabs>
        <w:widowControl w:val="0"/>
        <w:keepNext w:val="0"/>
        <w:keepLines w:val="0"/>
        <w:shd w:val="clear" w:color="auto" w:fill="auto"/>
        <w:bidi w:val="0"/>
        <w:jc w:val="both"/>
        <w:spacing w:before="0" w:after="0" w:line="638" w:lineRule="exact"/>
        <w:ind w:left="0" w:right="0" w:firstLine="0"/>
      </w:pPr>
      <w:r>
        <w:rPr>
          <w:lang w:val="ru-RU" w:eastAsia="ru-RU" w:bidi="ru-RU"/>
          <w:w w:val="100"/>
          <w:spacing w:val="0"/>
          <w:color w:val="000000"/>
          <w:position w:val="0"/>
        </w:rPr>
        <w:t>Члены Комиссии</w:t>
        <w:tab/>
        <w:t>В.А.</w:t>
        <w:tab/>
        <w:t>Матвеев</w:t>
      </w:r>
    </w:p>
    <w:p>
      <w:pPr>
        <w:pStyle w:val="Style5"/>
        <w:widowControl w:val="0"/>
        <w:keepNext w:val="0"/>
        <w:keepLines w:val="0"/>
        <w:shd w:val="clear" w:color="auto" w:fill="auto"/>
        <w:bidi w:val="0"/>
        <w:jc w:val="right"/>
        <w:spacing w:before="0" w:after="2691" w:line="638" w:lineRule="exact"/>
        <w:ind w:left="0" w:right="20" w:firstLine="0"/>
      </w:pPr>
      <w:r>
        <w:rPr>
          <w:lang w:val="ru-RU" w:eastAsia="ru-RU" w:bidi="ru-RU"/>
          <w:w w:val="100"/>
          <w:spacing w:val="0"/>
          <w:color w:val="000000"/>
          <w:position w:val="0"/>
        </w:rPr>
        <w:t>А.А. Кутейников</w:t>
      </w:r>
    </w:p>
    <w:p>
      <w:pPr>
        <w:pStyle w:val="Style11"/>
        <w:widowControl w:val="0"/>
        <w:keepNext w:val="0"/>
        <w:keepLines w:val="0"/>
        <w:shd w:val="clear" w:color="auto" w:fill="auto"/>
        <w:bidi w:val="0"/>
        <w:spacing w:before="0" w:after="0" w:line="200" w:lineRule="exact"/>
        <w:ind w:left="0" w:right="0" w:firstLine="0"/>
      </w:pPr>
      <w:r>
        <w:rPr>
          <w:lang w:val="ru-RU" w:eastAsia="ru-RU" w:bidi="ru-RU"/>
          <w:w w:val="100"/>
          <w:spacing w:val="0"/>
          <w:color w:val="000000"/>
          <w:position w:val="0"/>
        </w:rPr>
        <w:t xml:space="preserve">Исп. Кутейников А.А. </w:t>
      </w:r>
      <w:r>
        <w:fldChar w:fldCharType="begin"/>
      </w:r>
      <w:r>
        <w:rPr>
          <w:color w:val="000000"/>
        </w:rPr>
        <w:instrText> HYPERLINK "mailto:to77-kuteynikov@fas.gov.ru" </w:instrText>
      </w:r>
      <w:r>
        <w:fldChar w:fldCharType="separate"/>
      </w:r>
      <w:r>
        <w:rPr>
          <w:rStyle w:val="Hyperlink"/>
          <w:w w:val="100"/>
          <w:spacing w:val="0"/>
          <w:position w:val="0"/>
        </w:rPr>
        <w:t>to77-kuteynikov@fas.gov.ru</w:t>
      </w:r>
      <w:r>
        <w:fldChar w:fldCharType="end"/>
      </w:r>
    </w:p>
    <w:sectPr>
      <w:pgSz w:w="11906" w:h="16838"/>
      <w:pgMar w:top="1744" w:left="847" w:right="839" w:bottom="169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10">
    <w:name w:val="Заголовок №1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3)_"/>
    <w:basedOn w:val="DefaultParagraphFont"/>
    <w:link w:val="Style11"/>
    <w:rPr>
      <w:lang w:val="en-US" w:eastAsia="en-US" w:bidi="en-US"/>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spacing w:line="322" w:lineRule="exact"/>
      <w:ind w:hanging="56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440" w:line="322" w:lineRule="exact"/>
      <w:ind w:firstLine="4340"/>
    </w:pPr>
    <w:rPr>
      <w:b/>
      <w:bCs/>
      <w:i w:val="0"/>
      <w:iCs w:val="0"/>
      <w:u w:val="none"/>
      <w:strike w:val="0"/>
      <w:smallCaps w:val="0"/>
      <w:sz w:val="26"/>
      <w:szCs w:val="26"/>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both"/>
      <w:spacing w:before="2340" w:line="0" w:lineRule="exact"/>
    </w:pPr>
    <w:rPr>
      <w:lang w:val="en-US" w:eastAsia="en-US" w:bidi="en-US"/>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