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8"/>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9"/>
        <w:ind w:left="0" w:right="0" w:firstLine="0"/>
      </w:pPr>
      <w:r>
        <w:rPr>
          <w:rStyle w:val="CharStyle8"/>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0"/>
        <w:ind w:left="0" w:right="0" w:firstLine="0"/>
      </w:pPr>
      <w:r>
        <w:rPr>
          <w:rStyle w:val="CharStyle11"/>
        </w:rPr>
        <w:t xml:space="preserve">ул. Ленина, 40, г. Майкоп,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pStyle w:val="Style3"/>
        <w:widowControl w:val="0"/>
        <w:keepNext w:val="0"/>
        <w:keepLines w:val="0"/>
        <w:shd w:val="clear" w:color="auto" w:fill="auto"/>
        <w:bidi w:val="0"/>
        <w:spacing w:before="0" w:after="106"/>
        <w:ind w:left="0" w:right="0" w:firstLine="0"/>
      </w:pPr>
      <w:r>
        <w:rPr>
          <w:rStyle w:val="CharStyle5"/>
          <w:b/>
          <w:bCs/>
        </w:rPr>
        <w:t>МОНОПОЛИЕМ ПЭШ1УЕКЮРЭ ФЕДЕРАЛЬНО КЪУЛЫКЪУР</w:t>
      </w:r>
    </w:p>
    <w:p>
      <w:pPr>
        <w:pStyle w:val="Style6"/>
        <w:widowControl w:val="0"/>
        <w:keepNext w:val="0"/>
        <w:keepLines w:val="0"/>
        <w:shd w:val="clear" w:color="auto" w:fill="auto"/>
        <w:bidi w:val="0"/>
        <w:spacing w:before="0" w:after="182" w:line="266" w:lineRule="exact"/>
        <w:ind w:left="0" w:right="0" w:firstLine="0"/>
      </w:pPr>
      <w:r>
        <w:rPr>
          <w:rStyle w:val="CharStyle8"/>
        </w:rPr>
        <w:t>Монополием пэш1уек1орэ Федеральнэ къулыкъум Адыгэ РеспубликэмкЪ и Гъэ1орыш1ап1</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285" w:left="1109" w:right="1569" w:bottom="1263" w:header="0" w:footer="3" w:gutter="0"/>
          <w:rtlGutter w:val="0"/>
          <w:cols w:num="2" w:space="2290"/>
          <w:noEndnote/>
          <w:docGrid w:linePitch="360"/>
        </w:sectPr>
      </w:pPr>
      <w:r>
        <w:rPr>
          <w:rStyle w:val="CharStyle11"/>
        </w:rPr>
        <w:t xml:space="preserve">Лениным иур, 40, къ. Мыекъуапэ,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widowControl w:val="0"/>
        <w:spacing w:line="194"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ООО «Мегастрой»</w:t>
      </w:r>
    </w:p>
    <w:p>
      <w:pPr>
        <w:pStyle w:val="Style6"/>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368581, Республика Дагестан, Дахадаевский район,</w:t>
      </w:r>
    </w:p>
    <w:p>
      <w:pPr>
        <w:pStyle w:val="Style9"/>
        <w:framePr w:h="154" w:wrap="around" w:vAnchor="text" w:hAnchor="margin" w:x="-3507" w:y="73"/>
        <w:widowControl w:val="0"/>
        <w:keepNext w:val="0"/>
        <w:keepLines w:val="0"/>
        <w:shd w:val="clear" w:color="auto" w:fill="auto"/>
        <w:bidi w:val="0"/>
        <w:jc w:val="left"/>
        <w:spacing w:before="0" w:after="0" w:line="140" w:lineRule="exact"/>
        <w:ind w:left="0" w:right="0" w:firstLine="0"/>
      </w:pPr>
      <w:r>
        <w:rPr>
          <w:rStyle w:val="CharStyle13"/>
          <w:spacing w:val="0"/>
        </w:rPr>
        <w:t>На №</w:t>
      </w:r>
    </w:p>
    <w:p>
      <w:pPr>
        <w:pStyle w:val="Style9"/>
        <w:framePr w:h="140" w:wrap="around" w:vAnchor="text" w:hAnchor="margin" w:x="-1949" w:y="92"/>
        <w:widowControl w:val="0"/>
        <w:keepNext w:val="0"/>
        <w:keepLines w:val="0"/>
        <w:shd w:val="clear" w:color="auto" w:fill="auto"/>
        <w:bidi w:val="0"/>
        <w:jc w:val="left"/>
        <w:spacing w:before="0" w:after="0" w:line="140" w:lineRule="exact"/>
        <w:ind w:left="0" w:right="0" w:firstLine="0"/>
      </w:pPr>
      <w:r>
        <w:rPr>
          <w:rStyle w:val="CharStyle13"/>
          <w:spacing w:val="0"/>
        </w:rPr>
        <w:t>от</w:t>
      </w:r>
    </w:p>
    <w:p>
      <w:pPr>
        <w:pStyle w:val="Style6"/>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село Дибгаши</w:t>
      </w:r>
    </w:p>
    <w:p>
      <w:pPr>
        <w:pStyle w:val="Style6"/>
        <w:widowControl w:val="0"/>
        <w:keepNext w:val="0"/>
        <w:keepLines w:val="0"/>
        <w:shd w:val="clear" w:color="auto" w:fill="auto"/>
        <w:bidi w:val="0"/>
        <w:jc w:val="left"/>
        <w:spacing w:before="0" w:after="240" w:line="298"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"mailto:fas@parugroup.ru" </w:instrText>
      </w:r>
      <w:r>
        <w:fldChar w:fldCharType="separate"/>
      </w:r>
      <w:r>
        <w:rPr>
          <w:rStyle w:val="Hyperlink"/>
          <w:lang w:val="en-US" w:eastAsia="en-US" w:bidi="en-US"/>
          <w:sz w:val="24"/>
          <w:szCs w:val="24"/>
          <w:w w:val="100"/>
          <w:spacing w:val="0"/>
          <w:position w:val="0"/>
        </w:rPr>
        <w:t>fas@parugroup.ru</w:t>
      </w:r>
      <w:r>
        <w:fldChar w:fldCharType="end"/>
      </w:r>
    </w:p>
    <w:p>
      <w:pPr>
        <w:pStyle w:val="Style6"/>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МБОУ «ОЦ № 3 Майкопского района»</w:t>
      </w:r>
    </w:p>
    <w:p>
      <w:pPr>
        <w:pStyle w:val="Style6"/>
        <w:widowControl w:val="0"/>
        <w:keepNext w:val="0"/>
        <w:keepLines w:val="0"/>
        <w:shd w:val="clear" w:color="auto" w:fill="auto"/>
        <w:bidi w:val="0"/>
        <w:jc w:val="left"/>
        <w:spacing w:before="0" w:after="237" w:line="298" w:lineRule="exact"/>
        <w:ind w:left="20" w:right="240" w:firstLine="0"/>
      </w:pPr>
      <w:r>
        <w:rPr>
          <w:lang w:val="ru-RU" w:eastAsia="ru-RU" w:bidi="ru-RU"/>
          <w:sz w:val="24"/>
          <w:szCs w:val="24"/>
          <w:w w:val="100"/>
          <w:spacing w:val="0"/>
          <w:color w:val="000000"/>
          <w:position w:val="0"/>
        </w:rPr>
        <w:t xml:space="preserve">385774, Майкопский район, станица Абадзехская, улица Первомайская, 33 </w:t>
      </w:r>
      <w:r>
        <w:rPr>
          <w:lang w:val="en-US" w:eastAsia="en-US" w:bidi="en-US"/>
          <w:sz w:val="24"/>
          <w:szCs w:val="24"/>
          <w:w w:val="100"/>
          <w:spacing w:val="0"/>
          <w:color w:val="000000"/>
          <w:position w:val="0"/>
        </w:rPr>
        <w:t xml:space="preserve">E-mail: </w:t>
      </w:r>
      <w:r>
        <w:fldChar w:fldCharType="begin"/>
      </w:r>
      <w:r>
        <w:rPr>
          <w:color w:val="000000"/>
        </w:rPr>
        <w:instrText> HYPERLINK "mailto:school3abz@yandex.ru" </w:instrText>
      </w:r>
      <w:r>
        <w:fldChar w:fldCharType="separate"/>
      </w:r>
      <w:r>
        <w:rPr>
          <w:rStyle w:val="Hyperlink"/>
          <w:lang w:val="en-US" w:eastAsia="en-US" w:bidi="en-US"/>
          <w:sz w:val="24"/>
          <w:szCs w:val="24"/>
          <w:w w:val="100"/>
          <w:spacing w:val="0"/>
          <w:position w:val="0"/>
        </w:rPr>
        <w:t>school3abz@yandex.ru</w:t>
      </w:r>
      <w:r>
        <w:fldChar w:fldCharType="end"/>
      </w:r>
    </w:p>
    <w:p>
      <w:pPr>
        <w:pStyle w:val="Style6"/>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МКУ «ЦАТО»</w:t>
      </w:r>
    </w:p>
    <w:p>
      <w:pPr>
        <w:pStyle w:val="Style6"/>
        <w:widowControl w:val="0"/>
        <w:keepNext w:val="0"/>
        <w:keepLines w:val="0"/>
        <w:shd w:val="clear" w:color="auto" w:fill="auto"/>
        <w:bidi w:val="0"/>
        <w:jc w:val="left"/>
        <w:spacing w:before="0" w:after="0" w:line="302" w:lineRule="exact"/>
        <w:ind w:left="20" w:right="240" w:firstLine="0"/>
      </w:pPr>
      <w:r>
        <w:rPr>
          <w:lang w:val="ru-RU" w:eastAsia="ru-RU" w:bidi="ru-RU"/>
          <w:sz w:val="24"/>
          <w:szCs w:val="24"/>
          <w:w w:val="100"/>
          <w:spacing w:val="0"/>
          <w:color w:val="000000"/>
          <w:position w:val="0"/>
        </w:rPr>
        <w:t>385730, Майкопский район, поселок Тульский, улица Советская, 42</w:t>
      </w:r>
    </w:p>
    <w:p>
      <w:pPr>
        <w:pStyle w:val="Style6"/>
        <w:widowControl w:val="0"/>
        <w:keepNext w:val="0"/>
        <w:keepLines w:val="0"/>
        <w:shd w:val="clear" w:color="auto" w:fill="auto"/>
        <w:bidi w:val="0"/>
        <w:jc w:val="left"/>
        <w:spacing w:before="0" w:after="0" w:line="302" w:lineRule="exact"/>
        <w:ind w:left="20" w:right="0" w:firstLine="0"/>
        <w:sectPr>
          <w:type w:val="continuous"/>
          <w:pgSz w:w="11906" w:h="16838"/>
          <w:pgMar w:top="1285" w:left="4797" w:right="1005" w:bottom="1263" w:header="0" w:footer="3" w:gutter="0"/>
          <w:rtlGutter w:val="0"/>
          <w:cols w:space="720"/>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"mailto:cato.custom@egov01.ru" </w:instrText>
      </w:r>
      <w:r>
        <w:fldChar w:fldCharType="separate"/>
      </w:r>
      <w:r>
        <w:rPr>
          <w:rStyle w:val="Hyperlink"/>
          <w:lang w:val="en-US" w:eastAsia="en-US" w:bidi="en-US"/>
          <w:sz w:val="24"/>
          <w:szCs w:val="24"/>
          <w:w w:val="100"/>
          <w:spacing w:val="0"/>
          <w:position w:val="0"/>
        </w:rPr>
        <w:t>cato.custom@egov01.ru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"mailto:e.lomaka@egov01.ru" </w:instrText>
      </w:r>
      <w:r>
        <w:fldChar w:fldCharType="separate"/>
      </w:r>
      <w:r>
        <w:rPr>
          <w:rStyle w:val="Hyperlink"/>
          <w:lang w:val="en-US" w:eastAsia="en-US" w:bidi="en-US"/>
          <w:sz w:val="24"/>
          <w:szCs w:val="24"/>
          <w:w w:val="100"/>
          <w:spacing w:val="0"/>
          <w:position w:val="0"/>
        </w:rPr>
        <w:t>e.lomaka@egov01.ru</w:t>
      </w:r>
      <w:r>
        <w:fldChar w:fldCharType="end"/>
      </w: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298" w:lineRule="exact"/>
        <w:ind w:left="0" w:right="0" w:firstLine="0"/>
      </w:pPr>
      <w:r>
        <w:rPr>
          <w:lang w:val="ru-RU" w:eastAsia="ru-RU" w:bidi="ru-RU"/>
          <w:sz w:val="24"/>
          <w:szCs w:val="24"/>
          <w:w w:val="100"/>
          <w:spacing w:val="0"/>
          <w:color w:val="000000"/>
          <w:position w:val="0"/>
        </w:rPr>
        <w:t>РЕШЕНИЕ</w:t>
      </w:r>
    </w:p>
    <w:p>
      <w:pPr>
        <w:pStyle w:val="Style6"/>
        <w:widowControl w:val="0"/>
        <w:keepNext w:val="0"/>
        <w:keepLines w:val="0"/>
        <w:shd w:val="clear" w:color="auto" w:fill="auto"/>
        <w:bidi w:val="0"/>
        <w:spacing w:before="0" w:after="106" w:line="298" w:lineRule="exact"/>
        <w:ind w:left="0" w:right="0" w:firstLine="0"/>
      </w:pPr>
      <w:r>
        <w:rPr>
          <w:lang w:val="ru-RU" w:eastAsia="ru-RU" w:bidi="ru-RU"/>
          <w:sz w:val="24"/>
          <w:szCs w:val="24"/>
          <w:w w:val="100"/>
          <w:spacing w:val="0"/>
          <w:color w:val="000000"/>
          <w:position w:val="0"/>
        </w:rPr>
        <w:t>по делу №001/06/54.3-54/2021 о нарушении законодательства о контрактной системе в сфере закупок</w:t>
      </w:r>
    </w:p>
    <w:p>
      <w:pPr>
        <w:pStyle w:val="Style6"/>
        <w:tabs>
          <w:tab w:leader="none" w:pos="9498" w:val="right"/>
        </w:tabs>
        <w:widowControl w:val="0"/>
        <w:keepNext w:val="0"/>
        <w:keepLines w:val="0"/>
        <w:shd w:val="clear" w:color="auto" w:fill="auto"/>
        <w:bidi w:val="0"/>
        <w:jc w:val="both"/>
        <w:spacing w:before="0" w:after="71" w:line="240" w:lineRule="exact"/>
        <w:ind w:left="0" w:right="0" w:firstLine="0"/>
      </w:pPr>
      <w:r>
        <w:rPr>
          <w:lang w:val="ru-RU" w:eastAsia="ru-RU" w:bidi="ru-RU"/>
          <w:sz w:val="24"/>
          <w:szCs w:val="24"/>
          <w:w w:val="100"/>
          <w:spacing w:val="0"/>
          <w:color w:val="000000"/>
          <w:position w:val="0"/>
        </w:rPr>
        <w:t>11 февраля 2021 года</w:t>
        <w:tab/>
        <w:t>г.Майкоп</w:t>
      </w:r>
    </w:p>
    <w:p>
      <w:pPr>
        <w:pStyle w:val="Style6"/>
        <w:widowControl w:val="0"/>
        <w:keepNext w:val="0"/>
        <w:keepLines w:val="0"/>
        <w:shd w:val="clear" w:color="auto" w:fill="auto"/>
        <w:bidi w:val="0"/>
        <w:jc w:val="left"/>
        <w:spacing w:before="0" w:after="64" w:line="302" w:lineRule="exact"/>
        <w:ind w:left="0" w:right="3960" w:firstLine="0"/>
      </w:pPr>
      <w:r>
        <w:rPr>
          <w:lang w:val="ru-RU" w:eastAsia="ru-RU" w:bidi="ru-RU"/>
          <w:sz w:val="24"/>
          <w:szCs w:val="24"/>
          <w:w w:val="100"/>
          <w:spacing w:val="0"/>
          <w:color w:val="000000"/>
          <w:position w:val="0"/>
        </w:rPr>
        <w:t>Резолютивная часть оглашена: 09.02.2021 Решение в полном объеме изготовлено: 11.02.2021</w:t>
      </w:r>
    </w:p>
    <w:p>
      <w:pPr>
        <w:pStyle w:val="Style6"/>
        <w:widowControl w:val="0"/>
        <w:keepNext w:val="0"/>
        <w:keepLines w:val="0"/>
        <w:shd w:val="clear" w:color="auto" w:fill="auto"/>
        <w:bidi w:val="0"/>
        <w:jc w:val="both"/>
        <w:spacing w:before="0" w:after="106" w:line="298" w:lineRule="exact"/>
        <w:ind w:left="0" w:right="20" w:firstLine="60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Женетля А.Ш., заместителя руководителя, членов Комиссии УФАС: Блягоза Р.Х. и Пшизова М.А., ведущих специалистов-экспертов, с участием представителей: Заявителя - ООО «Мегастрой» (далее - Заявитель) Ибрагимова И.Б. (доверенность от 01.02.2021), Уполномоченного учреждения - Муниципального казенного учреждения «Центр административно-технического обслуживания» (далее - Уполномоченное учреждение) Ломаки Е.В. (доверенность от 25.01.2021), рассмотрев жалобу Заявителя на положения документации открытого конкурса в электронной форме на выполнение строительно-монтажных работ по объекту «Строительство спортивного комплекса по адресу: РА, Майкопский район п. Первомайский ул. Школьная 39» (извещение №0376300021521000006) (далее - Конкурс), проведя внеплановую проверку на основании пункта 1 части 15 статьи 99 Федерального закона от 05.04.2013 № 44-ФЗ «О контрактной системе в сфере</w:t>
        <w:br w:type="page"/>
        <w:t>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6"/>
        <w:widowControl w:val="0"/>
        <w:keepNext w:val="0"/>
        <w:keepLines w:val="0"/>
        <w:shd w:val="clear" w:color="auto" w:fill="auto"/>
        <w:bidi w:val="0"/>
        <w:jc w:val="left"/>
        <w:spacing w:before="0" w:after="80" w:line="240" w:lineRule="exact"/>
        <w:ind w:left="4140" w:right="0" w:firstLine="0"/>
      </w:pPr>
      <w:r>
        <w:rPr>
          <w:lang w:val="ru-RU" w:eastAsia="ru-RU" w:bidi="ru-RU"/>
          <w:sz w:val="24"/>
          <w:szCs w:val="24"/>
          <w:w w:val="100"/>
          <w:spacing w:val="0"/>
          <w:color w:val="000000"/>
          <w:position w:val="0"/>
        </w:rPr>
        <w:t>УСТАНОВИЛА:</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Управление Федеральной антимонопольной службы по Республике Адыгея (далее - Адыгейское УФАС России) 02.02.2021 поступила жалоба Заявителя, в которой указано, что положения Конкурсной документации не соответствуют Закону о контрактной системе по следующим основаниям:</w:t>
      </w:r>
    </w:p>
    <w:p>
      <w:pPr>
        <w:pStyle w:val="Style6"/>
        <w:numPr>
          <w:ilvl w:val="0"/>
          <w:numId w:val="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Конкурсной документации установлено требование о предоставлении в качестве опыта подтверждения выполнения работ исключительно копий контрактов, заключенных в рамках законодательства №44-ФЗ и №223-ФЗ, что лишает возможности предоставить подтверждение опыта сопоставимого характера и объема по гражданско-правовым договорам, которые заключались в процессе обычной хозяйственной деятельности.</w:t>
      </w:r>
    </w:p>
    <w:p>
      <w:pPr>
        <w:pStyle w:val="Style6"/>
        <w:numPr>
          <w:ilvl w:val="0"/>
          <w:numId w:val="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Конкурсной документации установлено, что наличие опыта исполненного контракта подтверждается, в том числе копиями дополнительных соглашений к контракту (договору). Вместе с тем, предоставление участником закупки в составе заявки на участие в закупке контракта (договора) без приложения к нему дополнительных соглашений не свидетельствует об отсутствии у участника закупки, подавшего такую заявку, требуемого опыта выполнения работ.</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На основании изложенного Заявитель просит приостановить размещение закупки, признать жалобу обоснованной, обязать Заказчика привести конкурсную документацию в соответствие с законодательством, провести внеплановую проверку, привлечь к административной ответственности виновных лиц.</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Уполномоченное учреждение представило возражение на жалобу исх. №32 от 05.02.2020, в котором просило признать жалобу необоснованной.</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Уполномоченным учреждением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14.01.2021 размещены извещение о проведении закупки и документация Конкурса. 20.01.2021 размещены изменения извещения и документации Конкурса.</w:t>
      </w:r>
    </w:p>
    <w:p>
      <w:pPr>
        <w:pStyle w:val="Style6"/>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Начальная (максимальная) цена контракта - 19 712 360,00 руб.</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Источник финансирования - субсидии из федерального бюджета, субсидии из республиканского бюджета, средства местного бюджета.</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Аукционная документация в последней редакции утверждена директором МБОУ «ОЦ № 3 Майкопского района» Зейтуняном Р. А. - 20.01.2021.</w:t>
      </w:r>
    </w:p>
    <w:p>
      <w:pPr>
        <w:pStyle w:val="Style6"/>
        <w:numPr>
          <w:ilvl w:val="0"/>
          <w:numId w:val="3"/>
        </w:numPr>
        <w:tabs>
          <w:tab w:leader="none" w:pos="972" w:val="left"/>
        </w:tabs>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Согласно пункту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6"/>
        <w:numPr>
          <w:ilvl w:val="0"/>
          <w:numId w:val="5"/>
        </w:numPr>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 xml:space="preserve"> цена контракта;</w:t>
      </w:r>
    </w:p>
    <w:p>
      <w:pPr>
        <w:pStyle w:val="Style6"/>
        <w:numPr>
          <w:ilvl w:val="0"/>
          <w:numId w:val="5"/>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расходы на эксплуатацию и ремонт товаров, использование результатов работ;</w:t>
      </w:r>
    </w:p>
    <w:p>
      <w:pPr>
        <w:pStyle w:val="Style6"/>
        <w:numPr>
          <w:ilvl w:val="0"/>
          <w:numId w:val="5"/>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6"/>
        <w:numPr>
          <w:ilvl w:val="0"/>
          <w:numId w:val="5"/>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установлены Постановлением Правительства РФ от 28.11.2013 г.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(памятников истории и культуры) народов Российской</w:t>
      </w:r>
    </w:p>
    <w:p>
      <w:pPr>
        <w:pStyle w:val="Style6"/>
        <w:widowControl w:val="0"/>
        <w:keepNext w:val="0"/>
        <w:keepLines w:val="0"/>
        <w:shd w:val="clear" w:color="auto" w:fill="auto"/>
        <w:bidi w:val="0"/>
        <w:jc w:val="both"/>
        <w:spacing w:before="0" w:after="0" w:line="302" w:lineRule="exact"/>
        <w:ind w:left="0" w:right="20" w:firstLine="0"/>
      </w:pPr>
      <w:r>
        <w:rPr>
          <w:lang w:val="ru-RU" w:eastAsia="ru-RU" w:bidi="ru-RU"/>
          <w:sz w:val="24"/>
          <w:szCs w:val="24"/>
          <w:w w:val="100"/>
          <w:spacing w:val="0"/>
          <w:color w:val="000000"/>
          <w:position w:val="0"/>
        </w:rPr>
        <w:t>Федерации (далее - объекты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Закона о контрактной системе, допускается установление в документации о закупке в качестве нестоимостных критериев оценки исключительно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показателей такого критерия, указанных в пункте 27(2) Правил.</w:t>
      </w:r>
    </w:p>
    <w:p>
      <w:pPr>
        <w:pStyle w:val="Style6"/>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Согласно пункту 27(2) Правил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Закона о контрактной системе,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pPr>
        <w:pStyle w:val="Style6"/>
        <w:widowControl w:val="0"/>
        <w:keepNext w:val="0"/>
        <w:keepLines w:val="0"/>
        <w:shd w:val="clear" w:color="auto" w:fill="auto"/>
        <w:bidi w:val="0"/>
        <w:jc w:val="both"/>
        <w:spacing w:before="0" w:after="0" w:line="302" w:lineRule="exact"/>
        <w:ind w:left="0" w:right="0" w:firstLine="600"/>
      </w:pPr>
      <w:r>
        <w:rPr>
          <w:lang w:val="ru-RU" w:eastAsia="ru-RU" w:bidi="ru-RU"/>
          <w:sz w:val="24"/>
          <w:szCs w:val="24"/>
          <w:w w:val="100"/>
          <w:spacing w:val="0"/>
          <w:color w:val="000000"/>
          <w:position w:val="0"/>
        </w:rPr>
        <w:t>а) общая стоимость исполненных контрактов (договоров);</w:t>
      </w:r>
    </w:p>
    <w:p>
      <w:pPr>
        <w:pStyle w:val="Style6"/>
        <w:widowControl w:val="0"/>
        <w:keepNext w:val="0"/>
        <w:keepLines w:val="0"/>
        <w:shd w:val="clear" w:color="auto" w:fill="auto"/>
        <w:bidi w:val="0"/>
        <w:jc w:val="both"/>
        <w:spacing w:before="0" w:after="0" w:line="302" w:lineRule="exact"/>
        <w:ind w:left="0" w:right="0" w:firstLine="600"/>
      </w:pPr>
      <w:r>
        <w:rPr>
          <w:lang w:val="ru-RU" w:eastAsia="ru-RU" w:bidi="ru-RU"/>
          <w:sz w:val="24"/>
          <w:szCs w:val="24"/>
          <w:w w:val="100"/>
          <w:spacing w:val="0"/>
          <w:color w:val="000000"/>
          <w:position w:val="0"/>
        </w:rPr>
        <w:t>б) общее количество исполненных контрактов (договоров);</w:t>
      </w:r>
    </w:p>
    <w:p>
      <w:pPr>
        <w:pStyle w:val="Style6"/>
        <w:widowControl w:val="0"/>
        <w:keepNext w:val="0"/>
        <w:keepLines w:val="0"/>
        <w:shd w:val="clear" w:color="auto" w:fill="auto"/>
        <w:bidi w:val="0"/>
        <w:jc w:val="both"/>
        <w:spacing w:before="0" w:after="0" w:line="302" w:lineRule="exact"/>
        <w:ind w:left="0" w:right="0" w:firstLine="600"/>
      </w:pPr>
      <w:r>
        <w:rPr>
          <w:lang w:val="ru-RU" w:eastAsia="ru-RU" w:bidi="ru-RU"/>
          <w:sz w:val="24"/>
          <w:szCs w:val="24"/>
          <w:w w:val="100"/>
          <w:spacing w:val="0"/>
          <w:color w:val="000000"/>
          <w:position w:val="0"/>
        </w:rPr>
        <w:t>в) наибольшая цена одного из исполненных контрактов (договоров).</w:t>
      </w:r>
    </w:p>
    <w:p>
      <w:pPr>
        <w:pStyle w:val="Style6"/>
        <w:widowControl w:val="0"/>
        <w:keepNext w:val="0"/>
        <w:keepLines w:val="0"/>
        <w:shd w:val="clear" w:color="auto" w:fill="auto"/>
        <w:bidi w:val="0"/>
        <w:jc w:val="both"/>
        <w:spacing w:before="0" w:after="0" w:line="302" w:lineRule="exact"/>
        <w:ind w:left="0" w:right="0" w:firstLine="600"/>
      </w:pPr>
      <w:r>
        <w:rPr>
          <w:lang w:val="ru-RU" w:eastAsia="ru-RU" w:bidi="ru-RU"/>
          <w:sz w:val="24"/>
          <w:szCs w:val="24"/>
          <w:w w:val="100"/>
          <w:spacing w:val="0"/>
          <w:color w:val="000000"/>
          <w:position w:val="0"/>
        </w:rPr>
        <w:t>Подпунктом «а» пункта 27(3) Правил предусмотрено, что для оценки заявок</w:t>
      </w:r>
    </w:p>
    <w:p>
      <w:pPr>
        <w:pStyle w:val="Style6"/>
        <w:widowControl w:val="0"/>
        <w:keepNext w:val="0"/>
        <w:keepLines w:val="0"/>
        <w:shd w:val="clear" w:color="auto" w:fill="auto"/>
        <w:bidi w:val="0"/>
        <w:jc w:val="both"/>
        <w:spacing w:before="0" w:after="0" w:line="302" w:lineRule="exact"/>
        <w:ind w:left="0" w:right="20" w:firstLine="0"/>
      </w:pPr>
      <w:r>
        <w:rPr>
          <w:lang w:val="ru-RU" w:eastAsia="ru-RU" w:bidi="ru-RU"/>
          <w:sz w:val="24"/>
          <w:szCs w:val="24"/>
          <w:w w:val="100"/>
          <w:spacing w:val="0"/>
          <w:color w:val="000000"/>
          <w:position w:val="0"/>
        </w:rPr>
        <w:t>(предложений) по показателям, предусмотренным пунктом 27(2) Правил, в документации о закупке устанавливается и учитывается при оценке один или несколько следующих видов контрактов (договоров):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 объекты капитального строительства (за исключением линейных объектов); линейные объекты капитального строительства; особо опасные, технически сложные и уникальные объекты капитального строительства; объекты культурного наследия.</w:t>
      </w:r>
    </w:p>
    <w:p>
      <w:pPr>
        <w:pStyle w:val="Style6"/>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В разделе нестоимостные критерии оценки Приложения №2 к Разделу 2. «Информационная карта конкурса в электронной форме» (далее - Приложения №2) установлено 3 показателя: наибольшая цена одного из исполненных контрактов (договоров), общее количество исполненных контрактов (договоров), общая стоимость исполненных контрактов (договоров).</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По всем показателям установлено следующее: «исполнение соответствующего контракта (договора) подтверждаются информацией представленной в составе заявки согласно Перечню («Форма 1» предложена в Приложении № 1 к «Критериям оценки заявок на участие в открытом конкурсе в электронной форме») с обязательным указанием номера реестровой записи исполненных Контрактов (договоров), из реестра контрактов (договоров), размещенного в единой информационной системе в сфере закупок </w:t>
      </w:r>
      <w:r>
        <w:rPr>
          <w:lang w:val="en-US" w:eastAsia="en-US" w:bidi="en-US"/>
          <w:sz w:val="24"/>
          <w:szCs w:val="24"/>
          <w:w w:val="100"/>
          <w:spacing w:val="0"/>
          <w:color w:val="000000"/>
          <w:position w:val="0"/>
        </w:rPr>
        <w:t>(</w:t>
      </w:r>
      <w:r>
        <w:rPr>
          <w:lang w:val="en-US" w:eastAsia="en-US" w:bidi="en-US"/>
          <w:sz w:val="24"/>
          <w:szCs w:val="24"/>
          <w:w w:val="100"/>
          <w:spacing w:val="0"/>
          <w:color w:val="000000"/>
          <w:position w:val="0"/>
        </w:rPr>
        <w:t>http://zakupki.gov.ru)»</w:t>
      </w:r>
      <w:r>
        <w:rPr>
          <w:lang w:val="en-US" w:eastAsia="en-US" w:bidi="en-US"/>
          <w:sz w:val="24"/>
          <w:szCs w:val="24"/>
          <w:w w:val="100"/>
          <w:spacing w:val="0"/>
          <w:color w:val="000000"/>
          <w:position w:val="0"/>
        </w:rPr>
        <w:t>.</w:t>
      </w:r>
    </w:p>
    <w:p>
      <w:pPr>
        <w:pStyle w:val="Style6"/>
        <w:tabs>
          <w:tab w:leader="none" w:pos="9608" w:val="right"/>
        </w:tabs>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При этом, в Приложении №2 установлено следующее:</w:t>
        <w:tab/>
        <w:t>«документы,</w:t>
      </w:r>
    </w:p>
    <w:p>
      <w:pPr>
        <w:pStyle w:val="Style6"/>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подтверждающие квалификацию участника открытого конкурса в электронной форме:</w:t>
      </w:r>
    </w:p>
    <w:p>
      <w:pPr>
        <w:pStyle w:val="Style6"/>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перечень успешно исполненных контрактов/договоров (или указание на исполненный контракт/договор) с указанием реестровых номеров в реестре контрактов по 44-ФЗ или реестре договоров по 223-ФЗ, размещенных в ЕИС, в случае, если в реестре контрактов/договоров данные контракты/договоры находятся в статусе «Исполнение завершено».</w:t>
      </w:r>
    </w:p>
    <w:p>
      <w:pPr>
        <w:pStyle w:val="Style6"/>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случае, если в реестре контрактов/договоров данные контракты/договоры не находятся в статусе «Исполнение завершено», участник представляет перечень исполненных контрактов/договоров (или указание на исполненный контракт/договор), а так же прикладывает следующий перечень документов в отношении каждого контракта/договора:</w:t>
      </w:r>
    </w:p>
    <w:p>
      <w:pPr>
        <w:pStyle w:val="Style6"/>
        <w:numPr>
          <w:ilvl w:val="0"/>
          <w:numId w:val="7"/>
        </w:numPr>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 xml:space="preserve"> Копия исполненного контракта/договора;</w:t>
      </w:r>
    </w:p>
    <w:p>
      <w:pPr>
        <w:pStyle w:val="Style6"/>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Копия акта (актов) выполненных работ, содержащие все обязательные реквизиты, установленные частью 2 статьи 9 Федерального закона от 6 декабря 2011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402-ФЗ «О бухгалтерском учете», и подтверждающие стоимость исполненного контракта/договора;</w:t>
      </w:r>
    </w:p>
    <w:p>
      <w:pPr>
        <w:pStyle w:val="Style6"/>
        <w:numPr>
          <w:ilvl w:val="0"/>
          <w:numId w:val="7"/>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Российской Федерации о градостроительной деятельности)».</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Документация о закупке разрабатывается заказчиком самостоятельно в соответствии с требованиями к содержанию документации о закупке, установленными положениями Закона о контрактной системе и действующим законодательством Российской Федерации.</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Таким образом, разрабатывая документацию о закупке, заказчик руководствуется положениями Закона о контрактной системе с учетом специфики конкретной закупки, установленной в рамках отраслевого законодательства.</w:t>
      </w:r>
    </w:p>
    <w:p>
      <w:pPr>
        <w:pStyle w:val="Style6"/>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Учитывая изложенное, в целях выявления лучших из предложенных условий исполнения контракта при оценке заявок Заказчик установил в соответствии с пунктами 11, 27 (2) и 27 (3) Правил такие показатели нестоимостного критерия оценки, как наибольшая цена одного из исполненных контрактов (договоров), общее количество исполненных контрактов (договоров), общая стоимость исполненных контрактов (договоров), заключенных в соответствии с Законом о контрактной системе, Федеральным законом от 08.07.2011 г. № 223-ФЗ «О закупках товаров, работ, услуг отдельными видами юридических лиц» предметом которого является выполнение работ по строительству, реконструкции, капитальному ремонту, сносу объекта капитального строительства (за исключением линейных объектов).</w:t>
      </w:r>
    </w:p>
    <w:p>
      <w:pPr>
        <w:pStyle w:val="Style6"/>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При этом, законодательством о контрактной системе не установлено ограничений в части определения предмета оценки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определённого уровня квалификации», в связи с чем определение содержания данных показателей производится заказчиком самостоятельно, в том числе предмет оценки по показателю и перечень документов, которые должны быть представлены участником для оценки по показателю. Заказчик самостоятельно определяет какие именно документы и сведения являются подтверждением квалификации участника, необходимого заказчику.</w:t>
      </w:r>
    </w:p>
    <w:p>
      <w:pPr>
        <w:pStyle w:val="Style6"/>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Каждый участник на равных и единых для всех участников условиях вправе предоставить документы, подтверждающие наличие необходимого заказчику опыта, что соответствует принципам контрактной системы - создание равных условий для обеспечения конкуренции между участниками закупок.</w:t>
      </w:r>
    </w:p>
    <w:p>
      <w:pPr>
        <w:pStyle w:val="Style6"/>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При этом, согласно пункту 6 части 6 статьи 54.4 Закона о контрактной системе не предоставление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составе заявки на участие в конкурсе. Таким образом, в случае если участник закупки не предоставляет документы по указанным выше показателям, его заявка также подлежит оценке на равных условиях в соответствии с конкурсной документацией.</w:t>
      </w:r>
    </w:p>
    <w:p>
      <w:pPr>
        <w:pStyle w:val="Style6"/>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 xml:space="preserve">Учитывая изложенное, действия Заказчика в части установления порядка оценки по нестоимостному критерию не противоречат положениям Закона о контрактной системе и Постановлению Правительства РФ от 28.11.2013 г. № 1085, следовательно, жалоба в данной части является </w:t>
      </w:r>
      <w:r>
        <w:rPr>
          <w:rStyle w:val="CharStyle14"/>
        </w:rPr>
        <w:t>необоснованной.</w:t>
      </w:r>
    </w:p>
    <w:p>
      <w:pPr>
        <w:pStyle w:val="Style6"/>
        <w:numPr>
          <w:ilvl w:val="0"/>
          <w:numId w:val="3"/>
        </w:numPr>
        <w:tabs>
          <w:tab w:leader="none" w:pos="907" w:val="left"/>
        </w:tabs>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В Приложении №2 указано, что если в ходе исполнения контракта/договора были заключены дополнительные соглашения и (или) соглашения о расторжении контракта, то заявка должна содержать копии данных документов. Данное условие направлено на выявление участников, способных исполнить свои обязательства без существенных нарушений обязательств, а так же выявления случаев неполного выполнения, связанного с расторжением контракта на основании одностороннего отказа Заказчиком от его исполнения.</w:t>
      </w:r>
    </w:p>
    <w:p>
      <w:pPr>
        <w:pStyle w:val="Style6"/>
        <w:widowControl w:val="0"/>
        <w:keepNext w:val="0"/>
        <w:keepLines w:val="0"/>
        <w:shd w:val="clear" w:color="auto" w:fill="auto"/>
        <w:bidi w:val="0"/>
        <w:jc w:val="both"/>
        <w:spacing w:before="0" w:after="0" w:line="302" w:lineRule="exact"/>
        <w:ind w:left="0" w:right="0" w:firstLine="600"/>
      </w:pPr>
      <w:r>
        <w:rPr>
          <w:lang w:val="ru-RU" w:eastAsia="ru-RU" w:bidi="ru-RU"/>
          <w:sz w:val="24"/>
          <w:szCs w:val="24"/>
          <w:w w:val="100"/>
          <w:spacing w:val="0"/>
          <w:color w:val="000000"/>
          <w:position w:val="0"/>
        </w:rPr>
        <w:t>При этом, в Приложении №2 также указано следующее:</w:t>
      </w:r>
    </w:p>
    <w:p>
      <w:pPr>
        <w:pStyle w:val="Style6"/>
        <w:widowControl w:val="0"/>
        <w:keepNext w:val="0"/>
        <w:keepLines w:val="0"/>
        <w:shd w:val="clear" w:color="auto" w:fill="auto"/>
        <w:bidi w:val="0"/>
        <w:jc w:val="both"/>
        <w:spacing w:before="0" w:after="0" w:line="302" w:lineRule="exact"/>
        <w:ind w:left="0" w:right="0" w:firstLine="600"/>
      </w:pPr>
      <w:r>
        <w:rPr>
          <w:lang w:val="ru-RU" w:eastAsia="ru-RU" w:bidi="ru-RU"/>
          <w:sz w:val="24"/>
          <w:szCs w:val="24"/>
          <w:w w:val="100"/>
          <w:spacing w:val="0"/>
          <w:color w:val="000000"/>
          <w:position w:val="0"/>
        </w:rPr>
        <w:t>«Опыт выполнения работ считается не подтвержденным в случаях:</w:t>
      </w:r>
    </w:p>
    <w:p>
      <w:pPr>
        <w:pStyle w:val="Style6"/>
        <w:numPr>
          <w:ilvl w:val="0"/>
          <w:numId w:val="7"/>
        </w:numPr>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 xml:space="preserve"> если стоимость исполненного контракта ниже указанного минимального количественного значения показателя (подкритерия) нестоимостного критерия (при наличии);</w:t>
      </w:r>
    </w:p>
    <w:p>
      <w:pPr>
        <w:pStyle w:val="Style6"/>
        <w:numPr>
          <w:ilvl w:val="0"/>
          <w:numId w:val="7"/>
        </w:numPr>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 xml:space="preserve"> отсутствия документов, подтверждающих выполнение работ по объекту за последние 5 лет, предшествующие дате окончания приема заявок на участие в</w:t>
        <w:br w:type="page"/>
        <w:t>закупке (копии исполненного контракта/договора, актов выполненных работ/актов приемки объекта по указанным контрактам,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Российской Федерации о градостроительной деятельности);</w:t>
      </w:r>
    </w:p>
    <w:p>
      <w:pPr>
        <w:pStyle w:val="Style6"/>
        <w:widowControl w:val="0"/>
        <w:keepNext w:val="0"/>
        <w:keepLines w:val="0"/>
        <w:shd w:val="clear" w:color="auto" w:fill="auto"/>
        <w:bidi w:val="0"/>
        <w:jc w:val="left"/>
        <w:spacing w:before="0" w:after="0" w:line="302" w:lineRule="exact"/>
        <w:ind w:left="0" w:right="20" w:firstLine="1020"/>
      </w:pPr>
      <w:r>
        <w:rPr>
          <w:lang w:val="ru-RU" w:eastAsia="ru-RU" w:bidi="ru-RU"/>
          <w:sz w:val="24"/>
          <w:szCs w:val="24"/>
          <w:w w:val="100"/>
          <w:spacing w:val="0"/>
          <w:color w:val="000000"/>
          <w:position w:val="0"/>
        </w:rPr>
        <w:t>несоответствия тематики контрактов (договоров) вышеуказанным требованиям;</w:t>
      </w:r>
    </w:p>
    <w:p>
      <w:pPr>
        <w:pStyle w:val="Style6"/>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-отсутствия в представленных копиях актов выполненных работ/актов приемки объекта сведений о стоимости выполненных работ;</w:t>
      </w:r>
    </w:p>
    <w:p>
      <w:pPr>
        <w:pStyle w:val="Style6"/>
        <w:numPr>
          <w:ilvl w:val="0"/>
          <w:numId w:val="7"/>
        </w:numPr>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 xml:space="preserve"> отсутствия в представленных копиях контрактов (договоров) сведений о сторонах контракта (договора), реквизитах сторон, предмете, цене контракта (договора), сроках исполнения контракта (договора);</w:t>
      </w:r>
    </w:p>
    <w:p>
      <w:pPr>
        <w:pStyle w:val="Style6"/>
        <w:numPr>
          <w:ilvl w:val="0"/>
          <w:numId w:val="7"/>
        </w:numPr>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 xml:space="preserve"> в случае предоставления участником закупки договора на выполнение субподрядных работ;</w:t>
      </w:r>
    </w:p>
    <w:p>
      <w:pPr>
        <w:pStyle w:val="Style6"/>
        <w:numPr>
          <w:ilvl w:val="0"/>
          <w:numId w:val="7"/>
        </w:numPr>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 xml:space="preserve"> в случае, если контракт расторгнут на основании одностороннего отказа Заказчиком от исполнения контракта».</w:t>
      </w:r>
    </w:p>
    <w:p>
      <w:pPr>
        <w:pStyle w:val="Style6"/>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Таким образом, отсутствие в составе заявки на участие в закупке дополнительных соглашений к копии исполненного контракта (договора), не будет являться основанием для того, чтобы данный контракт не засчитывался при расчёте подтверждении опыта работы.</w:t>
      </w:r>
    </w:p>
    <w:p>
      <w:pPr>
        <w:pStyle w:val="Style6"/>
        <w:widowControl w:val="0"/>
        <w:keepNext w:val="0"/>
        <w:keepLines w:val="0"/>
        <w:shd w:val="clear" w:color="auto" w:fill="auto"/>
        <w:bidi w:val="0"/>
        <w:jc w:val="both"/>
        <w:spacing w:before="0" w:after="0" w:line="302" w:lineRule="exact"/>
        <w:ind w:left="0" w:right="20" w:firstLine="600"/>
      </w:pPr>
      <w:r>
        <w:rPr>
          <w:lang w:val="ru-RU" w:eastAsia="ru-RU" w:bidi="ru-RU"/>
          <w:sz w:val="24"/>
          <w:szCs w:val="24"/>
          <w:w w:val="100"/>
          <w:spacing w:val="0"/>
          <w:color w:val="000000"/>
          <w:position w:val="0"/>
        </w:rPr>
        <w:t xml:space="preserve">При таких обстоятельствах, Комиссия УФАС приходит к выводу о том, что жалоба в данной части является </w:t>
      </w:r>
      <w:r>
        <w:rPr>
          <w:rStyle w:val="CharStyle14"/>
        </w:rPr>
        <w:t>необоснованной.</w:t>
      </w:r>
    </w:p>
    <w:p>
      <w:pPr>
        <w:pStyle w:val="Style6"/>
        <w:widowControl w:val="0"/>
        <w:keepNext w:val="0"/>
        <w:keepLines w:val="0"/>
        <w:shd w:val="clear" w:color="auto" w:fill="auto"/>
        <w:bidi w:val="0"/>
        <w:jc w:val="both"/>
        <w:spacing w:before="0" w:after="110" w:line="302" w:lineRule="exact"/>
        <w:ind w:left="0" w:right="20" w:firstLine="60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6"/>
        <w:widowControl w:val="0"/>
        <w:keepNext w:val="0"/>
        <w:keepLines w:val="0"/>
        <w:shd w:val="clear" w:color="auto" w:fill="auto"/>
        <w:bidi w:val="0"/>
        <w:jc w:val="left"/>
        <w:spacing w:before="0" w:after="75" w:line="240" w:lineRule="exact"/>
        <w:ind w:left="4500" w:right="0" w:firstLine="0"/>
      </w:pPr>
      <w:r>
        <w:rPr>
          <w:lang w:val="ru-RU" w:eastAsia="ru-RU" w:bidi="ru-RU"/>
          <w:sz w:val="24"/>
          <w:szCs w:val="24"/>
          <w:w w:val="100"/>
          <w:spacing w:val="0"/>
          <w:color w:val="000000"/>
          <w:position w:val="0"/>
        </w:rPr>
        <w:t>РЕШИЛА:</w:t>
      </w:r>
    </w:p>
    <w:p>
      <w:pPr>
        <w:pStyle w:val="Style6"/>
        <w:widowControl w:val="0"/>
        <w:keepNext w:val="0"/>
        <w:keepLines w:val="0"/>
        <w:shd w:val="clear" w:color="auto" w:fill="auto"/>
        <w:bidi w:val="0"/>
        <w:jc w:val="both"/>
        <w:spacing w:before="0" w:after="0" w:line="302" w:lineRule="exact"/>
        <w:ind w:left="0" w:right="0" w:firstLine="600"/>
      </w:pPr>
      <w:r>
        <w:rPr>
          <w:lang w:val="ru-RU" w:eastAsia="ru-RU" w:bidi="ru-RU"/>
          <w:sz w:val="24"/>
          <w:szCs w:val="24"/>
          <w:w w:val="100"/>
          <w:spacing w:val="0"/>
          <w:color w:val="000000"/>
          <w:position w:val="0"/>
        </w:rPr>
        <w:t>Признать жалобу ООО «Мегастрой» необоснованной.</w:t>
      </w:r>
    </w:p>
    <w:p>
      <w:pPr>
        <w:pStyle w:val="Style6"/>
        <w:widowControl w:val="0"/>
        <w:keepNext w:val="0"/>
        <w:keepLines w:val="0"/>
        <w:shd w:val="clear" w:color="auto" w:fill="auto"/>
        <w:bidi w:val="0"/>
        <w:jc w:val="both"/>
        <w:spacing w:before="0" w:after="0" w:line="302" w:lineRule="exact"/>
        <w:ind w:left="0" w:right="20" w:firstLine="600"/>
        <w:sectPr>
          <w:type w:val="continuous"/>
          <w:pgSz w:w="11906" w:h="16838"/>
          <w:pgMar w:top="1265" w:left="1045" w:right="1045" w:bottom="1920" w:header="0" w:footer="3" w:gutter="209"/>
          <w:rtlGutter w:val="0"/>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30" w:wrap="notBeside" w:vAnchor="text" w:hAnchor="margin" w:x="7422" w:y="905"/>
        <w:widowControl w:val="0"/>
        <w:keepNext w:val="0"/>
        <w:keepLines w:val="0"/>
        <w:shd w:val="clear" w:color="auto" w:fill="auto"/>
        <w:bidi w:val="0"/>
        <w:jc w:val="left"/>
        <w:spacing w:before="0" w:after="0" w:line="230" w:lineRule="exact"/>
        <w:ind w:left="100" w:right="0" w:firstLine="0"/>
      </w:pPr>
      <w:r>
        <w:rPr>
          <w:rStyle w:val="CharStyle15"/>
          <w:spacing w:val="0"/>
        </w:rPr>
        <w:t>М.А. Пшизов</w:t>
      </w:r>
    </w:p>
    <w:p>
      <w:pPr>
        <w:pStyle w:val="Style6"/>
        <w:widowControl w:val="0"/>
        <w:keepNext w:val="0"/>
        <w:keepLines w:val="0"/>
        <w:shd w:val="clear" w:color="auto" w:fill="auto"/>
        <w:bidi w:val="0"/>
        <w:jc w:val="left"/>
        <w:spacing w:before="0" w:after="0" w:line="451" w:lineRule="exact"/>
        <w:ind w:left="0" w:right="34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2742" w:left="1159" w:right="7682" w:bottom="28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w:basedOn w:val="CharStyle7"/>
    <w:rPr>
      <w:lang w:val="ru-RU" w:eastAsia="ru-RU" w:bidi="ru-RU"/>
      <w:sz w:val="24"/>
      <w:szCs w:val="24"/>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spacing w:val="2"/>
    </w:rPr>
  </w:style>
  <w:style w:type="character" w:customStyle="1" w:styleId="CharStyle13">
    <w:name w:val="Основной текст (3) Exact"/>
    <w:basedOn w:val="CharStyle10"/>
    <w:rPr>
      <w:lang w:val="ru-RU" w:eastAsia="ru-RU" w:bidi="ru-RU"/>
      <w:sz w:val="14"/>
      <w:szCs w:val="14"/>
      <w:w w:val="100"/>
      <w:spacing w:val="2"/>
      <w:color w:val="000000"/>
      <w:position w:val="0"/>
    </w:rPr>
  </w:style>
  <w:style w:type="character" w:customStyle="1" w:styleId="CharStyle14">
    <w:name w:val="Основной текст + Полужирный"/>
    <w:basedOn w:val="CharStyle7"/>
    <w:rPr>
      <w:lang w:val="ru-RU" w:eastAsia="ru-RU" w:bidi="ru-RU"/>
      <w:b/>
      <w:bCs/>
      <w:sz w:val="24"/>
      <w:szCs w:val="24"/>
      <w:w w:val="100"/>
      <w:spacing w:val="0"/>
      <w:color w:val="000000"/>
      <w:position w:val="0"/>
    </w:rPr>
  </w:style>
  <w:style w:type="character" w:customStyle="1" w:styleId="CharStyle15">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6"/>
    </w:rPr>
  </w:style>
  <w:style w:type="paragraph" w:customStyle="1" w:styleId="Style3">
    <w:name w:val="Основной текст (2)"/>
    <w:basedOn w:val="Normal"/>
    <w:link w:val="CharStyle4"/>
    <w:pPr>
      <w:widowControl w:val="0"/>
      <w:shd w:val="clear" w:color="auto" w:fill="FFFFFF"/>
      <w:jc w:val="center"/>
      <w:spacing w:after="120" w:line="248"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before="120" w:after="120" w:line="275" w:lineRule="exact"/>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line="190"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