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95"/>
        <w:ind w:left="0" w:right="2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92"/>
        <w:ind w:left="0" w:right="20" w:firstLine="0"/>
      </w:pPr>
      <w:r>
        <w:rPr>
          <w:rStyle w:val="CharStyle8"/>
          <w:b/>
          <w:bCs/>
        </w:rPr>
        <w:t>УПРАВЛЕНИЕ Федеральной антимонопольной службы по Республике Адыгея</w:t>
      </w:r>
    </w:p>
    <w:p>
      <w:pPr>
        <w:pStyle w:val="Style9"/>
        <w:widowControl w:val="0"/>
        <w:keepNext w:val="0"/>
        <w:keepLines w:val="0"/>
        <w:shd w:val="clear" w:color="auto" w:fill="auto"/>
        <w:bidi w:val="0"/>
        <w:spacing w:before="0" w:after="932"/>
        <w:ind w:left="0" w:right="20" w:firstLine="0"/>
      </w:pPr>
      <w:r>
        <w:rPr>
          <w:rStyle w:val="CharStyle11"/>
        </w:rPr>
        <w:t xml:space="preserve">ул. Ленина, 40, г. Майкоп, 385000 Тел./факс: (8772) 57-05-22 </w:t>
      </w:r>
      <w:r>
        <w:rPr>
          <w:rStyle w:val="CharStyle11"/>
          <w:lang w:val="en-US" w:eastAsia="en-US" w:bidi="en-US"/>
        </w:rPr>
        <w:t xml:space="preserve">e-mail: </w:t>
      </w:r>
      <w:r>
        <w:fldChar w:fldCharType="begin"/>
      </w:r>
      <w:r>
        <w:rPr>
          <w:rStyle w:val="CharStyle11"/>
        </w:rPr>
        <w:instrText> HYPERLINK "mailto:to01@fas.gov.ru" </w:instrText>
      </w:r>
      <w:r>
        <w:fldChar w:fldCharType="separate"/>
      </w:r>
      <w:r>
        <w:rPr>
          <w:rStyle w:val="Hyperlink"/>
          <w:lang w:val="en-US" w:eastAsia="en-US" w:bidi="en-US"/>
        </w:rPr>
        <w:t>to01@fas.gov.ru</w:t>
      </w:r>
      <w:r>
        <w:fldChar w:fldCharType="end"/>
      </w:r>
    </w:p>
    <w:p>
      <w:pPr>
        <w:pStyle w:val="Style9"/>
        <w:widowControl w:val="0"/>
        <w:keepNext w:val="0"/>
        <w:keepLines w:val="0"/>
        <w:shd w:val="clear" w:color="auto" w:fill="auto"/>
        <w:bidi w:val="0"/>
        <w:jc w:val="left"/>
        <w:spacing w:before="0" w:after="0" w:line="150" w:lineRule="exact"/>
        <w:ind w:left="180" w:right="0" w:firstLine="0"/>
      </w:pPr>
      <w:r>
        <w:rPr>
          <w:rStyle w:val="CharStyle11"/>
        </w:rPr>
        <w:t>На №</w:t>
      </w:r>
    </w:p>
    <w:p>
      <w:pPr>
        <w:pStyle w:val="Style9"/>
        <w:widowControl w:val="0"/>
        <w:keepNext w:val="0"/>
        <w:keepLines w:val="0"/>
        <w:shd w:val="clear" w:color="auto" w:fill="auto"/>
        <w:bidi w:val="0"/>
        <w:spacing w:before="0" w:after="0" w:line="150" w:lineRule="exact"/>
        <w:ind w:left="0" w:right="20" w:firstLine="0"/>
      </w:pPr>
      <w:r>
        <w:rPr>
          <w:rStyle w:val="CharStyle11"/>
        </w:rPr>
        <w:t>от</w:t>
      </w:r>
    </w:p>
    <w:p>
      <w:pPr>
        <w:pStyle w:val="Style3"/>
        <w:widowControl w:val="0"/>
        <w:keepNext w:val="0"/>
        <w:keepLines w:val="0"/>
        <w:shd w:val="clear" w:color="auto" w:fill="auto"/>
        <w:bidi w:val="0"/>
        <w:jc w:val="right"/>
        <w:spacing w:before="0" w:after="102" w:line="244" w:lineRule="exact"/>
        <w:ind w:left="20" w:right="20" w:firstLine="0"/>
      </w:pPr>
      <w:r>
        <w:rPr>
          <w:rStyle w:val="CharStyle5"/>
          <w:b/>
          <w:bCs/>
        </w:rPr>
        <w:t>МОНОПОЛИЕМ ПЭШ1УЕКЮРЭ ФЕДЕРАЛЬНО КЪУЛЫКЪУР</w:t>
      </w:r>
    </w:p>
    <w:p>
      <w:pPr>
        <w:pStyle w:val="Style12"/>
        <w:widowControl w:val="0"/>
        <w:keepNext w:val="0"/>
        <w:keepLines w:val="0"/>
        <w:shd w:val="clear" w:color="auto" w:fill="auto"/>
        <w:bidi w:val="0"/>
        <w:jc w:val="left"/>
        <w:spacing w:before="0" w:after="182"/>
        <w:ind w:left="360" w:right="20" w:firstLine="0"/>
      </w:pPr>
      <w:r>
        <w:rPr>
          <w:rStyle w:val="CharStyle14"/>
        </w:rPr>
        <w:t>Монополием пэш1уек1орэ Федерально къулыкъум Адыгэ РеспубликэмкЬ и Гъэ1орыш1ап1</w:t>
      </w:r>
    </w:p>
    <w:p>
      <w:pPr>
        <w:pStyle w:val="Style9"/>
        <w:widowControl w:val="0"/>
        <w:keepNext w:val="0"/>
        <w:keepLines w:val="0"/>
        <w:shd w:val="clear" w:color="auto" w:fill="auto"/>
        <w:bidi w:val="0"/>
        <w:spacing w:before="0" w:after="153"/>
        <w:ind w:left="0" w:right="560" w:firstLine="0"/>
      </w:pPr>
      <w:r>
        <w:rPr>
          <w:rStyle w:val="CharStyle11"/>
        </w:rPr>
        <w:t xml:space="preserve">Лениным иур, 40, къ. Мыекъуапэ, 385000 Тел./факс: (8772) 57-05-22 </w:t>
      </w:r>
      <w:r>
        <w:rPr>
          <w:rStyle w:val="CharStyle11"/>
          <w:lang w:val="en-US" w:eastAsia="en-US" w:bidi="en-US"/>
        </w:rPr>
        <w:t xml:space="preserve">e-mail: </w:t>
      </w:r>
      <w:r>
        <w:fldChar w:fldCharType="begin"/>
      </w:r>
      <w:r>
        <w:rPr>
          <w:rStyle w:val="CharStyle11"/>
        </w:rPr>
        <w:instrText> HYPERLINK "mailto:to01@fas.gov.ru" </w:instrText>
      </w:r>
      <w:r>
        <w:fldChar w:fldCharType="separate"/>
      </w:r>
      <w:r>
        <w:rPr>
          <w:rStyle w:val="Hyperlink"/>
          <w:lang w:val="en-US" w:eastAsia="en-US" w:bidi="en-US"/>
        </w:rPr>
        <w:t>to01@fas.gov.ru</w:t>
      </w:r>
      <w:r>
        <w:fldChar w:fldCharType="end"/>
      </w:r>
    </w:p>
    <w:p>
      <w:pPr>
        <w:pStyle w:val="Style12"/>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ООО «Мегастрой»</w:t>
      </w:r>
    </w:p>
    <w:p>
      <w:pPr>
        <w:pStyle w:val="Style12"/>
        <w:widowControl w:val="0"/>
        <w:keepNext w:val="0"/>
        <w:keepLines w:val="0"/>
        <w:shd w:val="clear" w:color="auto" w:fill="auto"/>
        <w:bidi w:val="0"/>
        <w:jc w:val="right"/>
        <w:spacing w:before="0" w:after="0" w:line="298" w:lineRule="exact"/>
        <w:ind w:left="0" w:right="20" w:firstLine="0"/>
      </w:pPr>
      <w:r>
        <w:rPr>
          <w:lang w:val="ru-RU" w:eastAsia="ru-RU" w:bidi="ru-RU"/>
          <w:sz w:val="24"/>
          <w:szCs w:val="24"/>
          <w:w w:val="100"/>
          <w:spacing w:val="0"/>
          <w:color w:val="000000"/>
          <w:position w:val="0"/>
        </w:rPr>
        <w:t>368581, Республика Дагестан, Дахадаевский район,</w:t>
      </w:r>
    </w:p>
    <w:p>
      <w:pPr>
        <w:pStyle w:val="Style12"/>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село Дибгаши</w:t>
      </w:r>
    </w:p>
    <w:p>
      <w:pPr>
        <w:pStyle w:val="Style12"/>
        <w:widowControl w:val="0"/>
        <w:keepNext w:val="0"/>
        <w:keepLines w:val="0"/>
        <w:shd w:val="clear" w:color="auto" w:fill="auto"/>
        <w:bidi w:val="0"/>
        <w:jc w:val="left"/>
        <w:spacing w:before="0" w:after="240" w:line="298" w:lineRule="exact"/>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"mailto:fas@parugroup.ru" </w:instrText>
      </w:r>
      <w:r>
        <w:fldChar w:fldCharType="separate"/>
      </w:r>
      <w:r>
        <w:rPr>
          <w:rStyle w:val="Hyperlink"/>
          <w:lang w:val="en-US" w:eastAsia="en-US" w:bidi="en-US"/>
          <w:sz w:val="24"/>
          <w:szCs w:val="24"/>
          <w:w w:val="100"/>
          <w:spacing w:val="0"/>
          <w:position w:val="0"/>
        </w:rPr>
        <w:t>fas@parugroup.ru</w:t>
      </w:r>
      <w:r>
        <w:fldChar w:fldCharType="end"/>
      </w:r>
    </w:p>
    <w:p>
      <w:pPr>
        <w:pStyle w:val="Style12"/>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МБДОУ № 37 «Тюльпанчик»</w:t>
      </w:r>
    </w:p>
    <w:p>
      <w:pPr>
        <w:pStyle w:val="Style12"/>
        <w:widowControl w:val="0"/>
        <w:keepNext w:val="0"/>
        <w:keepLines w:val="0"/>
        <w:shd w:val="clear" w:color="auto" w:fill="auto"/>
        <w:bidi w:val="0"/>
        <w:jc w:val="left"/>
        <w:spacing w:before="0" w:after="240" w:line="298" w:lineRule="exact"/>
        <w:ind w:left="20" w:right="20" w:firstLine="0"/>
      </w:pPr>
      <w:r>
        <w:rPr>
          <w:lang w:val="ru-RU" w:eastAsia="ru-RU" w:bidi="ru-RU"/>
          <w:sz w:val="24"/>
          <w:szCs w:val="24"/>
          <w:w w:val="100"/>
          <w:spacing w:val="0"/>
          <w:color w:val="000000"/>
          <w:position w:val="0"/>
        </w:rPr>
        <w:t xml:space="preserve">385766, Майкопский район, станица Кужорская, улица Школьная, дом № 97 </w:t>
      </w:r>
      <w:r>
        <w:rPr>
          <w:lang w:val="en-US" w:eastAsia="en-US" w:bidi="en-US"/>
          <w:sz w:val="24"/>
          <w:szCs w:val="24"/>
          <w:w w:val="100"/>
          <w:spacing w:val="0"/>
          <w:color w:val="000000"/>
          <w:position w:val="0"/>
        </w:rPr>
        <w:t xml:space="preserve">E-mail: </w:t>
      </w:r>
      <w:r>
        <w:fldChar w:fldCharType="begin"/>
      </w:r>
      <w:r>
        <w:rPr>
          <w:color w:val="000000"/>
        </w:rPr>
        <w:instrText> HYPERLINK "mailto:n.egorova@egov01.ru" </w:instrText>
      </w:r>
      <w:r>
        <w:fldChar w:fldCharType="separate"/>
      </w:r>
      <w:r>
        <w:rPr>
          <w:rStyle w:val="Hyperlink"/>
          <w:lang w:val="en-US" w:eastAsia="en-US" w:bidi="en-US"/>
          <w:sz w:val="24"/>
          <w:szCs w:val="24"/>
          <w:w w:val="100"/>
          <w:spacing w:val="0"/>
          <w:position w:val="0"/>
        </w:rPr>
        <w:t>n.egorova@egov01.ru</w:t>
      </w:r>
      <w:r>
        <w:fldChar w:fldCharType="end"/>
      </w:r>
    </w:p>
    <w:p>
      <w:pPr>
        <w:pStyle w:val="Style12"/>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МКУ «ЦАТО»</w:t>
      </w:r>
    </w:p>
    <w:p>
      <w:pPr>
        <w:pStyle w:val="Style12"/>
        <w:widowControl w:val="0"/>
        <w:keepNext w:val="0"/>
        <w:keepLines w:val="0"/>
        <w:shd w:val="clear" w:color="auto" w:fill="auto"/>
        <w:bidi w:val="0"/>
        <w:jc w:val="left"/>
        <w:spacing w:before="0" w:after="0" w:line="298" w:lineRule="exact"/>
        <w:ind w:left="20" w:right="20" w:firstLine="0"/>
      </w:pPr>
      <w:r>
        <w:rPr>
          <w:lang w:val="ru-RU" w:eastAsia="ru-RU" w:bidi="ru-RU"/>
          <w:sz w:val="24"/>
          <w:szCs w:val="24"/>
          <w:w w:val="100"/>
          <w:spacing w:val="0"/>
          <w:color w:val="000000"/>
          <w:position w:val="0"/>
        </w:rPr>
        <w:t>385730, Майкопский район, поселок Тульский, улица Советская, 42</w:t>
      </w:r>
    </w:p>
    <w:p>
      <w:pPr>
        <w:pStyle w:val="Style12"/>
        <w:widowControl w:val="0"/>
        <w:keepNext w:val="0"/>
        <w:keepLines w:val="0"/>
        <w:shd w:val="clear" w:color="auto" w:fill="auto"/>
        <w:bidi w:val="0"/>
        <w:jc w:val="right"/>
        <w:spacing w:before="0" w:after="0" w:line="298" w:lineRule="exact"/>
        <w:ind w:left="0" w:right="20" w:firstLine="0"/>
        <w:sectPr>
          <w:footnotePr>
            <w:pos w:val="pageBottom"/>
            <w:numFmt w:val="decimal"/>
            <w:numRestart w:val="continuous"/>
          </w:footnotePr>
          <w:type w:val="continuous"/>
          <w:pgSz w:w="11906" w:h="16838"/>
          <w:pgMar w:top="1169" w:left="1168" w:right="1173" w:bottom="1142" w:header="0" w:footer="3" w:gutter="0"/>
          <w:rtlGutter w:val="0"/>
          <w:cols w:num="2" w:space="720" w:equalWidth="0">
            <w:col w:w="3521" w:space="176"/>
            <w:col w:w="5868"/>
          </w:cols>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"mailto:cato.custom@egov01.ru" </w:instrText>
      </w:r>
      <w:r>
        <w:fldChar w:fldCharType="separate"/>
      </w:r>
      <w:r>
        <w:rPr>
          <w:rStyle w:val="Hyperlink"/>
          <w:lang w:val="en-US" w:eastAsia="en-US" w:bidi="en-US"/>
          <w:sz w:val="24"/>
          <w:szCs w:val="24"/>
          <w:w w:val="100"/>
          <w:spacing w:val="0"/>
          <w:position w:val="0"/>
        </w:rPr>
        <w:t>cato.custom@egov01.ru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"mailto:e.lomaka@egov01.ru" </w:instrText>
      </w:r>
      <w:r>
        <w:fldChar w:fldCharType="separate"/>
      </w:r>
      <w:r>
        <w:rPr>
          <w:rStyle w:val="Hyperlink"/>
          <w:lang w:val="en-US" w:eastAsia="en-US" w:bidi="en-US"/>
          <w:sz w:val="24"/>
          <w:szCs w:val="24"/>
          <w:w w:val="100"/>
          <w:spacing w:val="0"/>
          <w:position w:val="0"/>
        </w:rPr>
        <w:t>e.lomaka@egov01.ru</w:t>
      </w:r>
      <w:r>
        <w:fldChar w:fldCharType="end"/>
      </w: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center"/>
        <w:spacing w:before="0" w:after="0" w:line="302" w:lineRule="exact"/>
        <w:ind w:left="0" w:right="0" w:firstLine="0"/>
      </w:pPr>
      <w:r>
        <w:rPr>
          <w:lang w:val="ru-RU" w:eastAsia="ru-RU" w:bidi="ru-RU"/>
          <w:sz w:val="24"/>
          <w:szCs w:val="24"/>
          <w:w w:val="100"/>
          <w:spacing w:val="0"/>
          <w:color w:val="000000"/>
          <w:position w:val="0"/>
        </w:rPr>
        <w:t>РЕШЕНИЕ</w:t>
      </w:r>
    </w:p>
    <w:p>
      <w:pPr>
        <w:pStyle w:val="Style12"/>
        <w:widowControl w:val="0"/>
        <w:keepNext w:val="0"/>
        <w:keepLines w:val="0"/>
        <w:shd w:val="clear" w:color="auto" w:fill="auto"/>
        <w:bidi w:val="0"/>
        <w:jc w:val="center"/>
        <w:spacing w:before="0" w:after="110" w:line="302" w:lineRule="exact"/>
        <w:ind w:left="0" w:right="0" w:firstLine="0"/>
      </w:pPr>
      <w:r>
        <w:rPr>
          <w:lang w:val="ru-RU" w:eastAsia="ru-RU" w:bidi="ru-RU"/>
          <w:sz w:val="24"/>
          <w:szCs w:val="24"/>
          <w:w w:val="100"/>
          <w:spacing w:val="0"/>
          <w:color w:val="000000"/>
          <w:position w:val="0"/>
        </w:rPr>
        <w:t>по делу №001/06/54.3-52/2021 о нарушении законодательства о контрактной системе в сфере закупок</w:t>
      </w:r>
    </w:p>
    <w:p>
      <w:pPr>
        <w:pStyle w:val="Style12"/>
        <w:tabs>
          <w:tab w:leader="none" w:pos="9513" w:val="right"/>
        </w:tabs>
        <w:widowControl w:val="0"/>
        <w:keepNext w:val="0"/>
        <w:keepLines w:val="0"/>
        <w:shd w:val="clear" w:color="auto" w:fill="auto"/>
        <w:bidi w:val="0"/>
        <w:jc w:val="both"/>
        <w:spacing w:before="0" w:after="71" w:line="240" w:lineRule="exact"/>
        <w:ind w:left="20" w:right="0" w:firstLine="0"/>
      </w:pPr>
      <w:r>
        <w:rPr>
          <w:lang w:val="ru-RU" w:eastAsia="ru-RU" w:bidi="ru-RU"/>
          <w:sz w:val="24"/>
          <w:szCs w:val="24"/>
          <w:w w:val="100"/>
          <w:spacing w:val="0"/>
          <w:color w:val="000000"/>
          <w:position w:val="0"/>
        </w:rPr>
        <w:t>11 февраля 2021 года</w:t>
        <w:tab/>
        <w:t>г.Майкоп</w:t>
      </w:r>
    </w:p>
    <w:p>
      <w:pPr>
        <w:pStyle w:val="Style12"/>
        <w:widowControl w:val="0"/>
        <w:keepNext w:val="0"/>
        <w:keepLines w:val="0"/>
        <w:shd w:val="clear" w:color="auto" w:fill="auto"/>
        <w:bidi w:val="0"/>
        <w:jc w:val="left"/>
        <w:spacing w:before="0" w:after="64" w:line="302" w:lineRule="exact"/>
        <w:ind w:left="20" w:right="3980" w:firstLine="0"/>
      </w:pPr>
      <w:r>
        <w:rPr>
          <w:lang w:val="ru-RU" w:eastAsia="ru-RU" w:bidi="ru-RU"/>
          <w:sz w:val="24"/>
          <w:szCs w:val="24"/>
          <w:w w:val="100"/>
          <w:spacing w:val="0"/>
          <w:color w:val="000000"/>
          <w:position w:val="0"/>
        </w:rPr>
        <w:t>Резолютивная часть оглашена: 08.02.2021 Решение в полном объеме изготовлено: 11.02.2021</w:t>
      </w:r>
    </w:p>
    <w:p>
      <w:pPr>
        <w:pStyle w:val="Style12"/>
        <w:tabs>
          <w:tab w:leader="none" w:pos="1598" w:val="left"/>
        </w:tabs>
        <w:widowControl w:val="0"/>
        <w:keepNext w:val="0"/>
        <w:keepLines w:val="0"/>
        <w:shd w:val="clear" w:color="auto" w:fill="auto"/>
        <w:bidi w:val="0"/>
        <w:jc w:val="both"/>
        <w:spacing w:before="0" w:after="0" w:line="298" w:lineRule="exact"/>
        <w:ind w:left="20" w:right="20" w:firstLine="580"/>
      </w:pPr>
      <w:r>
        <w:rPr>
          <w:lang w:val="ru-RU" w:eastAsia="ru-RU" w:bidi="ru-RU"/>
          <w:sz w:val="24"/>
          <w:szCs w:val="24"/>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УФАС) в составе: председателя Комиссии УФАС - Женетля А.Ш., заместителя руководителя, членов Комиссии УФАС: Вдовиной О.Ю., начальника отдела, Блягоза Р.Х. и Пшизова М.А., ведущих специалистов-экспертов, с участием представителей: Заявителя - ООО «Мегастрой» (далее - Заявитель) Ибрагимова И.Б. (доверенность от 01.02.2021),</w:t>
        <w:tab/>
        <w:t>Уполномоченного учреждения - Муниципального казенного</w:t>
      </w:r>
    </w:p>
    <w:p>
      <w:pPr>
        <w:pStyle w:val="Style12"/>
        <w:tabs>
          <w:tab w:leader="none" w:pos="1598" w:val="left"/>
        </w:tabs>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учреждения</w:t>
        <w:tab/>
        <w:t>«Центр административно-технического обслуживания» (далее -</w:t>
      </w:r>
    </w:p>
    <w:p>
      <w:pPr>
        <w:pStyle w:val="Style12"/>
        <w:tabs>
          <w:tab w:leader="none" w:pos="1598" w:val="left"/>
        </w:tabs>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Уполномоченное учреждение) Ломаки Е.В. (доверенность от 25.01.2021), рассмотрев жалобу Заявителя на положения документации открытого конкурса в электронной форме на выполнение строительно-монтажных работ по объекту: «Капитальный ремонт муниципального учреждения ДОУ № 37 ст. Кужорская, ул. Школьная,</w:t>
        <w:tab/>
        <w:t>24, Майкопский район, Республика Адыгея» (извещение</w:t>
      </w:r>
    </w:p>
    <w:p>
      <w:pPr>
        <w:pStyle w:val="Style12"/>
        <w:widowControl w:val="0"/>
        <w:keepNext w:val="0"/>
        <w:keepLines w:val="0"/>
        <w:shd w:val="clear" w:color="auto" w:fill="auto"/>
        <w:bidi w:val="0"/>
        <w:jc w:val="center"/>
        <w:spacing w:before="0" w:after="0" w:line="298" w:lineRule="exact"/>
        <w:ind w:left="0" w:right="0" w:firstLine="0"/>
      </w:pPr>
      <w:r>
        <w:rPr>
          <w:lang w:val="ru-RU" w:eastAsia="ru-RU" w:bidi="ru-RU"/>
          <w:sz w:val="24"/>
          <w:szCs w:val="24"/>
          <w:w w:val="100"/>
          <w:spacing w:val="0"/>
          <w:color w:val="000000"/>
          <w:position w:val="0"/>
        </w:rPr>
        <w:t>№0376300021521000001) (далее - Конкурс), проведя внеплановую проверку на</w:t>
      </w:r>
    </w:p>
    <w:p>
      <w:pPr>
        <w:pStyle w:val="Style15"/>
        <w:widowControl w:val="0"/>
        <w:keepNext/>
        <w:keepLines/>
        <w:shd w:val="clear" w:color="auto" w:fill="auto"/>
        <w:bidi w:val="0"/>
        <w:jc w:val="left"/>
        <w:spacing w:before="0" w:after="0" w:line="340" w:lineRule="exact"/>
        <w:ind w:left="7620" w:right="0" w:firstLine="0"/>
      </w:pPr>
      <w:bookmarkStart w:id="0" w:name="bookmark0"/>
      <w:r>
        <w:rPr>
          <w:lang w:val="ru-RU" w:eastAsia="ru-RU" w:bidi="ru-RU"/>
          <w:w w:val="100"/>
          <w:color w:val="000000"/>
          <w:position w:val="0"/>
        </w:rPr>
        <w:t>045962</w:t>
      </w:r>
      <w:bookmarkEnd w:id="0"/>
      <w:r>
        <w:br w:type="page"/>
      </w:r>
    </w:p>
    <w:p>
      <w:pPr>
        <w:pStyle w:val="Style12"/>
        <w:widowControl w:val="0"/>
        <w:keepNext w:val="0"/>
        <w:keepLines w:val="0"/>
        <w:shd w:val="clear" w:color="auto" w:fill="auto"/>
        <w:bidi w:val="0"/>
        <w:jc w:val="both"/>
        <w:spacing w:before="0" w:after="110" w:line="302" w:lineRule="exact"/>
        <w:ind w:left="20" w:right="20" w:firstLine="0"/>
      </w:pPr>
      <w:r>
        <w:rPr>
          <w:lang w:val="ru-RU" w:eastAsia="ru-RU" w:bidi="ru-RU"/>
          <w:sz w:val="24"/>
          <w:szCs w:val="24"/>
          <w:w w:val="100"/>
          <w:spacing w:val="0"/>
          <w:color w:val="000000"/>
          <w:position w:val="0"/>
        </w:rPr>
        <w:t>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2"/>
        <w:widowControl w:val="0"/>
        <w:keepNext w:val="0"/>
        <w:keepLines w:val="0"/>
        <w:shd w:val="clear" w:color="auto" w:fill="auto"/>
        <w:bidi w:val="0"/>
        <w:jc w:val="left"/>
        <w:spacing w:before="0" w:after="75" w:line="240" w:lineRule="exact"/>
        <w:ind w:left="4140" w:right="0" w:firstLine="0"/>
      </w:pPr>
      <w:r>
        <w:rPr>
          <w:lang w:val="ru-RU" w:eastAsia="ru-RU" w:bidi="ru-RU"/>
          <w:sz w:val="24"/>
          <w:szCs w:val="24"/>
          <w:w w:val="100"/>
          <w:spacing w:val="0"/>
          <w:color w:val="000000"/>
          <w:position w:val="0"/>
        </w:rPr>
        <w:t>УСТАНОВИЛА:</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Управление Федеральной антимонопольной службы по Республике Адыгея (далее - Адыгейское УФАС России) 01.02.2021 поступила жалоба Заявителя, в которой указано, что положения Конкурсной документации не соответствуют Закону о контрактной системе по следующим основаниям:</w:t>
      </w:r>
    </w:p>
    <w:p>
      <w:pPr>
        <w:pStyle w:val="Style12"/>
        <w:numPr>
          <w:ilvl w:val="0"/>
          <w:numId w:val="1"/>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Конкурсной документации установлено требование о предоставлении в качестве опыта подтверждения выполнения работ исключительно копий контрактов, заключенных в рамках законодательства №44-ФЗ и №223-ФЗ, что лишает возможности предоставить подтверждение опыта сопоставимого характера и объема по гражданско-правовым договорам, которые заключались в процессе обычной хозяйственной деятельности.</w:t>
      </w:r>
    </w:p>
    <w:p>
      <w:pPr>
        <w:pStyle w:val="Style12"/>
        <w:numPr>
          <w:ilvl w:val="0"/>
          <w:numId w:val="1"/>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Конкурсной документации установлено, что наличие опыта исполненного контракта подтверждается, в том числе копиями дополнительных соглашений к контракту (договору). Вместе с тем, предоставление участником закупки в составе заявки на участие в закупке контракта (договора) без приложения к нему дополнительных соглашений не свидетельствует об отсутствии у участника закупки, подавшего такую заявку, требуемого опыта выполнения работ.</w:t>
      </w:r>
    </w:p>
    <w:p>
      <w:pPr>
        <w:pStyle w:val="Style12"/>
        <w:numPr>
          <w:ilvl w:val="0"/>
          <w:numId w:val="1"/>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Заказчик разместил разъяснения положений Конкурсной документации, которые изменили ее суть.</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На основании изложенного Заявитель просит приостановить размещение закупки, признать жалобу обоснованной, обязать Заказчика привести конкурсную документацию в соответствие с законодательством, провести внеплановую проверку, привлечь к административной ответственности виновных лиц.</w:t>
      </w:r>
    </w:p>
    <w:p>
      <w:pPr>
        <w:pStyle w:val="Style12"/>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Уполномоченное учреждение представило возражение на жалобу исх. №31 от</w:t>
      </w:r>
    </w:p>
    <w:p>
      <w:pPr>
        <w:pStyle w:val="Style12"/>
        <w:numPr>
          <w:ilvl w:val="0"/>
          <w:numId w:val="3"/>
        </w:numPr>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 xml:space="preserve"> в котором просило признать жалобу необоснованной.</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результате рассмотрения жалобы и проведения внеплановой проверки Комиссия УФАС установила следующее.</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Заказчиком на официальном сайте единой информационной системы в сфере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Официальный сайт) 13.01.2021 размещены извещение о проведении закупки и документация Конкурса. 14.01.2021, 20.01.2021,</w:t>
      </w:r>
    </w:p>
    <w:p>
      <w:pPr>
        <w:pStyle w:val="Style12"/>
        <w:numPr>
          <w:ilvl w:val="0"/>
          <w:numId w:val="5"/>
        </w:numPr>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 xml:space="preserve"> 28.01.2021 размещены изменения извещения и документации Конкурса.</w:t>
      </w:r>
    </w:p>
    <w:p>
      <w:pPr>
        <w:pStyle w:val="Style12"/>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Начальная (максимальная) цена контракта - 16 290 970,00 руб.</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Источник финансирования - субсидии из федерального бюджета, субсидии из республиканского бюджета, средства местного бюджета.</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Аукционная документация в последней редакции утверждена заведующий МБДОУ № 37 «Тюльпанчик» Н.И. Егоровой - 28.01.2021.</w:t>
      </w:r>
    </w:p>
    <w:p>
      <w:pPr>
        <w:pStyle w:val="Style12"/>
        <w:numPr>
          <w:ilvl w:val="0"/>
          <w:numId w:val="7"/>
        </w:numPr>
        <w:tabs>
          <w:tab w:leader="none" w:pos="972" w:val="left"/>
        </w:tabs>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Согласно пункту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12"/>
        <w:numPr>
          <w:ilvl w:val="0"/>
          <w:numId w:val="9"/>
        </w:numPr>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 xml:space="preserve"> цена контракта;</w:t>
      </w:r>
    </w:p>
    <w:p>
      <w:pPr>
        <w:pStyle w:val="Style12"/>
        <w:numPr>
          <w:ilvl w:val="0"/>
          <w:numId w:val="9"/>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расходы на эксплуатацию и ремонт товаров, использование результатов работ;</w:t>
      </w:r>
    </w:p>
    <w:p>
      <w:pPr>
        <w:pStyle w:val="Style12"/>
        <w:numPr>
          <w:ilvl w:val="0"/>
          <w:numId w:val="9"/>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качественные, функциональные и экологические характеристики объекта закупки;</w:t>
      </w:r>
    </w:p>
    <w:p>
      <w:pPr>
        <w:pStyle w:val="Style12"/>
        <w:numPr>
          <w:ilvl w:val="0"/>
          <w:numId w:val="9"/>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установлены Постановлением Правительства РФ от 28.11.2013 г.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pPr>
        <w:pStyle w:val="Style12"/>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(памятников истории и культуры) народов Российской Федерации (далее - объекты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 статьи 34 и частью 56 статьи 112 Закона о контрактной системе, допускается установление в документации о закупке в качестве нестоимостных критериев оценки исключительно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показателей такого критерия, указанных в пункте 27(2) Правил.</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Согласно пункту 27(2) Правил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 статьи 34 и частью 56 статьи 112 Закона о контрактной системе, по нестоимостному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документации о закупке устанавливается один или несколько следующих показателей:</w:t>
      </w:r>
    </w:p>
    <w:p>
      <w:pPr>
        <w:pStyle w:val="Style12"/>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а) общая стоимость исполненных контрактов (договоров);</w:t>
      </w:r>
    </w:p>
    <w:p>
      <w:pPr>
        <w:pStyle w:val="Style12"/>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б) общее количество исполненных контрактов (договоров);</w:t>
      </w:r>
    </w:p>
    <w:p>
      <w:pPr>
        <w:pStyle w:val="Style12"/>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в) наибольшая цена одного из исполненных контрактов (договоров).</w:t>
      </w:r>
    </w:p>
    <w:p>
      <w:pPr>
        <w:pStyle w:val="Style12"/>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Подпунктом «а» пункта 27(3) Правил предусмотрено, что для оценки заявок</w:t>
      </w:r>
    </w:p>
    <w:p>
      <w:pPr>
        <w:pStyle w:val="Style12"/>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(предложений) по показателям, предусмотренным пунктом 27(2) Правил, в документации о закупке устанавливается и учитывается при оценке один или несколько следующих видов контрактов (договоров): контракты (договоры), предусматривающие выполнение работ по строительству, реконструкции объектов капитального строительства, проведение работ по сохранению объектов культурного наследия,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К таким видам объектов капитального строительства относятся: объекты капитального строительства (за исключением линейных объектов); линейные объекты капитального строительства; особо опасные, технически сложные и уникальные объекты капитального строительства; объекты культурного наследия.</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разделе нестоимостные критерии оценки Приложения №2 к Разделу 2. «Информационная карта конкурса в электронной форме» (далее - Приложения №2) установлено 3 показателя: наибольшая цена одного из исполненных контрактов (договоров), общее количество исполненных контрактов (договоров), общая стоимость исполненных контрактов (договоров).</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По всем показателям установлено следующее: «исполнение соответствующего контракта (договора) подтверждаются информацией представленной в составе заявки согласно Перечню («Форма 1» предложена в Приложении № 1 к «Критериям оценки заявок на участие в открытом конкурсе в электронной форме») с обязательным указанием номера реестровой записи исполненных Контрактов (договоров), из реестра контрактов (договоров), размещенного в единой информационной системе в сфере закупок </w:t>
      </w:r>
      <w:r>
        <w:rPr>
          <w:lang w:val="en-US" w:eastAsia="en-US" w:bidi="en-US"/>
          <w:sz w:val="24"/>
          <w:szCs w:val="24"/>
          <w:w w:val="100"/>
          <w:spacing w:val="0"/>
          <w:color w:val="000000"/>
          <w:position w:val="0"/>
        </w:rPr>
        <w:t>(</w:t>
      </w:r>
      <w:r>
        <w:rPr>
          <w:lang w:val="en-US" w:eastAsia="en-US" w:bidi="en-US"/>
          <w:sz w:val="24"/>
          <w:szCs w:val="24"/>
          <w:w w:val="100"/>
          <w:spacing w:val="0"/>
          <w:color w:val="000000"/>
          <w:position w:val="0"/>
        </w:rPr>
        <w:t>http://zakupki.gov.ru)»</w:t>
      </w:r>
      <w:r>
        <w:rPr>
          <w:lang w:val="en-US" w:eastAsia="en-US" w:bidi="en-US"/>
          <w:sz w:val="24"/>
          <w:szCs w:val="24"/>
          <w:w w:val="100"/>
          <w:spacing w:val="0"/>
          <w:color w:val="000000"/>
          <w:position w:val="0"/>
        </w:rPr>
        <w:t>.</w:t>
      </w:r>
    </w:p>
    <w:p>
      <w:pPr>
        <w:pStyle w:val="Style12"/>
        <w:tabs>
          <w:tab w:leader="none" w:pos="9608" w:val="right"/>
        </w:tabs>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При этом, в Приложении №2 установлено следующее:</w:t>
        <w:tab/>
        <w:t>«документы,</w:t>
      </w:r>
    </w:p>
    <w:p>
      <w:pPr>
        <w:pStyle w:val="Style12"/>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подтверждающие квалификацию участника открытого конкурса в электронной форме:</w:t>
      </w:r>
    </w:p>
    <w:p>
      <w:pPr>
        <w:pStyle w:val="Style12"/>
        <w:numPr>
          <w:ilvl w:val="0"/>
          <w:numId w:val="11"/>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перечень успешно исполненных контрактов/договоров (или указание на исполненный контракт/договор) с указанием реестровых номеров в реестре контрактов по 44-ФЗ или реестре договоров по 223-ФЗ, размещенных в ЕИС, в случае, если в реестре контрактов/договоров данные контракты/договоры находятся в статусе «Исполнение завершено».</w:t>
      </w:r>
    </w:p>
    <w:p>
      <w:pPr>
        <w:pStyle w:val="Style12"/>
        <w:numPr>
          <w:ilvl w:val="0"/>
          <w:numId w:val="11"/>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случае, если в реестре контрактов/договоров данные контракты/договоры не находятся в статусе «Исполнение завершено», участник представляет перечень исполненных контрактов/договоров (или указание на исполненный контракт/договор), а так же прикладывает следующий перечень документов в отношении каждого контракта/договора:</w:t>
      </w:r>
    </w:p>
    <w:p>
      <w:pPr>
        <w:pStyle w:val="Style12"/>
        <w:numPr>
          <w:ilvl w:val="0"/>
          <w:numId w:val="11"/>
        </w:numPr>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 xml:space="preserve"> Копия исполненного контракта/договора;</w:t>
      </w:r>
    </w:p>
    <w:p>
      <w:pPr>
        <w:pStyle w:val="Style12"/>
        <w:numPr>
          <w:ilvl w:val="0"/>
          <w:numId w:val="11"/>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Копия акта (актов) выполненных работ, содержащие все обязательные реквизиты, установленные частью 2 статьи 9 Федерального закона от 6 декабря 2011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402-ФЗ «О бухгалтерском учете», и подтверждающие стоимость исполненного контракта/договора;</w:t>
      </w:r>
    </w:p>
    <w:p>
      <w:pPr>
        <w:pStyle w:val="Style12"/>
        <w:numPr>
          <w:ilvl w:val="0"/>
          <w:numId w:val="11"/>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Российской Федерации о градостроительной деятельности)».</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Документация о закупке разрабатывается заказчиком самостоятельно в соответствии с требованиями к содержанию документации о закупке, установленными положениями Закона о контрактной системе и действующим законодательством Российской Федерации.</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Таким образом, разрабатывая документацию о закупке, заказчик руководствуется положениями Закона о контрактной системе с учетом специфики конкретной закупки, установленной в рамках отраслевого законодательства.</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Учитывая изложенное, в целях выявления лучших из предложенных условий исполнения контракта при оценке заявок Заказчик установил в соответствии с пунктами 11, 27 (2) и 27 (3) Правил такие показатели нестоимостного критерия оценки, как наибольшая цена одного из исполненных контрактов (договоров), общее количество исполненных контрактов (договоров), общая стоимость исполненных контрактов (договоров), заключенных в соответствии с Законом о контрактной системе, Федеральным законом от 08.07.2011 г. № 223-ФЗ «О закупках товаров, работ, услуг отдельными видами юридических лиц» предметом которого является выполнение работ по строительству, реконструкции, капитальному ремонту, сносу объекта капитального строительства (за исключением линейных объектов).</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При этом, законодательством о контрактной системе не установлено ограничений в части определения предмета оценки по критерию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определённого уровня квалификации», в связи с чем определение содержания данных показателей производится заказчиком самостоятельно, в том числе предмет оценки по показателю и перечень документов, которые должны быть представлены участником для оценки по показателю. Заказчик самостоятельно определяет какие именно документы и сведения являются подтверждением квалификации участника, необходимого заказчику.</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Каждый участник на равных и единых для всех участников условиях вправе предоставить документы, подтверждающие наличие необходимого заказчику опыта, что соответствует принципам контрактной системы - создание равных условий для обеспечения конкуренции между участниками закупок.</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При этом, согласно пункту 6 части 6 статьи 54.4 Закона о контрактной системе не предоставление в составе заявки на участие в конкурсе таких документов не является основанием для отказа в допуске к участию в конкурсе, однако при оценке по настоящему показателю учитываются только те сведения, заявленные участниками закупки, которые подтверждены документально в составе заявки на участие в конкурсе. Таким образом, в случае если участник закупки не предоставляет документы по указанным выше показателям, его заявка также подлежит оценке на равных условиях в соответствии с конкурсной документацией.</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Учитывая изложенное, действия Заказчика в части установления порядка оценки по нестоимостному критерию не противоречат положениям Закона о контрактной системе и Постановлению Правительства РФ от 28.11.2013 г. № 1085, следовательно, жалоба в данной части является </w:t>
      </w:r>
      <w:r>
        <w:rPr>
          <w:rStyle w:val="CharStyle17"/>
        </w:rPr>
        <w:t>необоснованной.</w:t>
      </w:r>
    </w:p>
    <w:p>
      <w:pPr>
        <w:pStyle w:val="Style12"/>
        <w:numPr>
          <w:ilvl w:val="0"/>
          <w:numId w:val="7"/>
        </w:numPr>
        <w:tabs>
          <w:tab w:leader="none" w:pos="923" w:val="left"/>
        </w:tabs>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Приложении №2 указано, что если в ходе исполнения контракта/договора были заключены дополнительные соглашения и (или) соглашения о расторжении контракта, то заявка должна содержать копии данных документов. Данное условие направлено на выявление участников, способных исполнить свои обязательства без существенных нарушений обязательств, а так же выявления случаев неполного выполнения, связанного с расторжением контракта на основании одностороннего отказа Заказчиком от его исполнения.</w:t>
      </w:r>
    </w:p>
    <w:p>
      <w:pPr>
        <w:pStyle w:val="Style12"/>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При этом, в Приложении №2 также указано следующее:</w:t>
      </w:r>
    </w:p>
    <w:p>
      <w:pPr>
        <w:pStyle w:val="Style12"/>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«Опыт выполнения работ считается не подтвержденным в случаях:</w:t>
      </w:r>
    </w:p>
    <w:p>
      <w:pPr>
        <w:pStyle w:val="Style12"/>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 если стоимость исполненного контракта ниже указанного минимального количественного значения показателя (подкритерия) нестоимостного критерия (при наличии);</w:t>
      </w:r>
    </w:p>
    <w:p>
      <w:pPr>
        <w:pStyle w:val="Style12"/>
        <w:numPr>
          <w:ilvl w:val="0"/>
          <w:numId w:val="11"/>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отсутствия документов, подтверждающих выполнение работ по объекту за последние 5 лет, предшествующие дате окончания приема заявок на участие в закупке (копии исполненного контракта/договора, актов выполненных работ/актов приемки объекта по указанным контрактам,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Российской Федерации о градостроительной деятельности);</w:t>
      </w:r>
    </w:p>
    <w:p>
      <w:pPr>
        <w:pStyle w:val="Style12"/>
        <w:widowControl w:val="0"/>
        <w:keepNext w:val="0"/>
        <w:keepLines w:val="0"/>
        <w:shd w:val="clear" w:color="auto" w:fill="auto"/>
        <w:bidi w:val="0"/>
        <w:jc w:val="left"/>
        <w:spacing w:before="0" w:after="0" w:line="302" w:lineRule="exact"/>
        <w:ind w:left="20" w:right="20" w:firstLine="1020"/>
      </w:pPr>
      <w:r>
        <w:rPr>
          <w:lang w:val="ru-RU" w:eastAsia="ru-RU" w:bidi="ru-RU"/>
          <w:sz w:val="24"/>
          <w:szCs w:val="24"/>
          <w:w w:val="100"/>
          <w:spacing w:val="0"/>
          <w:color w:val="000000"/>
          <w:position w:val="0"/>
        </w:rPr>
        <w:t>несоответствия тематики контрактов (договоров) вышеуказанным требованиям;</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-отсутствия в представленных копиях актов выполненных работ/актов приемки объекта сведений о стоимости выполненных работ;</w:t>
      </w:r>
    </w:p>
    <w:p>
      <w:pPr>
        <w:pStyle w:val="Style12"/>
        <w:numPr>
          <w:ilvl w:val="0"/>
          <w:numId w:val="11"/>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отсутствия в представленных копиях контрактов (договоров) сведений о сторонах контракта (договора), реквизитах сторон, предмете, цене контракта (договора), сроках исполнения контракта (договора);</w:t>
      </w:r>
    </w:p>
    <w:p>
      <w:pPr>
        <w:pStyle w:val="Style12"/>
        <w:numPr>
          <w:ilvl w:val="0"/>
          <w:numId w:val="11"/>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случае предоставления участником закупки договора на выполнение субподрядных работ;</w:t>
      </w:r>
    </w:p>
    <w:p>
      <w:pPr>
        <w:pStyle w:val="Style12"/>
        <w:numPr>
          <w:ilvl w:val="0"/>
          <w:numId w:val="11"/>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 случае, если контракт расторгнут на основании одностороннего отказа Заказчиком от исполнения контракта».</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Таким образом, отсутствие в составе заявки на участие в закупке дополнительных соглашений к копии исполненного контракта (договора), не будет являться основанием для того, чтобы данный контракт не засчитывался при расчёте подтверждении опыта работы.</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При таких обстоятельствах, Комиссия УФАС приходит к выводу о том, что жалоба в данной части является </w:t>
      </w:r>
      <w:r>
        <w:rPr>
          <w:rStyle w:val="CharStyle17"/>
        </w:rPr>
        <w:t>необоснованной.</w:t>
      </w:r>
    </w:p>
    <w:p>
      <w:pPr>
        <w:pStyle w:val="Style12"/>
        <w:numPr>
          <w:ilvl w:val="0"/>
          <w:numId w:val="7"/>
        </w:numPr>
        <w:tabs>
          <w:tab w:leader="none" w:pos="927" w:val="left"/>
        </w:tabs>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Согласно части 7 статьи 54.3 Закона о контрактной системе любой участник открытого конкурса в электронной форме, зарегистрированный в единой информационной системе и аккредитованный на электронной площадке, вправе направить оператору электронной площадки с использованием программно</w:t>
        <w:softHyphen/>
        <w:t>аппаратных средств электронной площадки, на которой планируется проведение такого открытого конкурса в электронной форме, запрос о даче разъяснений положений конкурсной документации. При этом участник открытого конкурса в электронной форме вправе направить не более чем три запроса о даче разъяснений положений конкурсной документации в отношении одного открытого конкурса в электронной форме. В течение одного часа с момента поступления указанного запроса он направляется оператором электронной площадки заказчику без указания сведений об участнике закупки, направившем данный запрос.</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В соответствии с частью 8 статьи 54.3 Закона о контрактной системе в течение двух рабочих дней с даты поступления от оператора электронной площадки указанного в части 7 настоящей статьи запроса заказчик размещает в единой информационной системе разъяснения положений конкурсной документации с указанием предмета запроса при условии, что указанный запрос поступил к заказчику не позднее чем за пять дней до даты окончания срока подачи заявок на</w:t>
      </w:r>
    </w:p>
    <w:p>
      <w:pPr>
        <w:pStyle w:val="Style12"/>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участие в открытом конкурсе в электронной форме.</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Согласно части 9 статьи 54.3 Закона о контрактной системе разъяснения положений конкурсной документации не должны изменять ее суть.</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28.01.2021 Заказчиком дано разъяснение положений конкурсной документации №2, в котором указано следующее: «заказчиком предусматривается возможность предоставления копий документов, подтверждающих исполнение контрактов/договоров, не включенных в реестры. К таким договорам отнесены и иные гражданско-правовые договора, заключенные не в рамках 44-ФЗ и 223-ФЗ», что не соответствует положениям Конкурсной документации.</w:t>
      </w:r>
    </w:p>
    <w:p>
      <w:pPr>
        <w:pStyle w:val="Style12"/>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Таким образом, в действиях Заказчика усматривается нарушение </w:t>
      </w:r>
      <w:r>
        <w:rPr>
          <w:rStyle w:val="CharStyle17"/>
        </w:rPr>
        <w:t xml:space="preserve">части 9 статьи 54.3 </w:t>
      </w:r>
      <w:r>
        <w:rPr>
          <w:lang w:val="ru-RU" w:eastAsia="ru-RU" w:bidi="ru-RU"/>
          <w:sz w:val="24"/>
          <w:szCs w:val="24"/>
          <w:w w:val="100"/>
          <w:spacing w:val="0"/>
          <w:color w:val="000000"/>
          <w:position w:val="0"/>
        </w:rPr>
        <w:t xml:space="preserve">Закона о контрактной системе, следовательно, жалоба в данной части является </w:t>
      </w:r>
      <w:r>
        <w:rPr>
          <w:rStyle w:val="CharStyle17"/>
        </w:rPr>
        <w:t>обоснованной.</w:t>
      </w:r>
    </w:p>
    <w:p>
      <w:pPr>
        <w:pStyle w:val="Style12"/>
        <w:widowControl w:val="0"/>
        <w:keepNext w:val="0"/>
        <w:keepLines w:val="0"/>
        <w:shd w:val="clear" w:color="auto" w:fill="auto"/>
        <w:bidi w:val="0"/>
        <w:jc w:val="both"/>
        <w:spacing w:before="0" w:after="110" w:line="302" w:lineRule="exact"/>
        <w:ind w:left="20" w:right="20" w:firstLine="600"/>
      </w:pPr>
      <w:r>
        <w:rPr>
          <w:lang w:val="ru-RU" w:eastAsia="ru-RU" w:bidi="ru-RU"/>
          <w:sz w:val="24"/>
          <w:szCs w:val="24"/>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Административным регламентом, Комиссия УФАС</w:t>
      </w:r>
    </w:p>
    <w:p>
      <w:pPr>
        <w:pStyle w:val="Style12"/>
        <w:widowControl w:val="0"/>
        <w:keepNext w:val="0"/>
        <w:keepLines w:val="0"/>
        <w:shd w:val="clear" w:color="auto" w:fill="auto"/>
        <w:bidi w:val="0"/>
        <w:jc w:val="left"/>
        <w:spacing w:before="0" w:after="80" w:line="240" w:lineRule="exact"/>
        <w:ind w:left="4500" w:right="0" w:firstLine="0"/>
      </w:pPr>
      <w:r>
        <w:rPr>
          <w:lang w:val="ru-RU" w:eastAsia="ru-RU" w:bidi="ru-RU"/>
          <w:sz w:val="24"/>
          <w:szCs w:val="24"/>
          <w:w w:val="100"/>
          <w:spacing w:val="0"/>
          <w:color w:val="000000"/>
          <w:position w:val="0"/>
        </w:rPr>
        <w:t>РЕШИЛА:</w:t>
      </w:r>
    </w:p>
    <w:p>
      <w:pPr>
        <w:pStyle w:val="Style12"/>
        <w:numPr>
          <w:ilvl w:val="0"/>
          <w:numId w:val="13"/>
        </w:numPr>
        <w:widowControl w:val="0"/>
        <w:keepNext w:val="0"/>
        <w:keepLines w:val="0"/>
        <w:shd w:val="clear" w:color="auto" w:fill="auto"/>
        <w:bidi w:val="0"/>
        <w:jc w:val="both"/>
        <w:spacing w:before="0" w:after="0" w:line="302" w:lineRule="exact"/>
        <w:ind w:left="20" w:right="0" w:firstLine="600"/>
      </w:pPr>
      <w:r>
        <w:rPr>
          <w:lang w:val="ru-RU" w:eastAsia="ru-RU" w:bidi="ru-RU"/>
          <w:sz w:val="24"/>
          <w:szCs w:val="24"/>
          <w:w w:val="100"/>
          <w:spacing w:val="0"/>
          <w:color w:val="000000"/>
          <w:position w:val="0"/>
        </w:rPr>
        <w:t xml:space="preserve"> Признать жалобу ООО «Мегастрой» частично обоснованной.</w:t>
      </w:r>
    </w:p>
    <w:p>
      <w:pPr>
        <w:pStyle w:val="Style12"/>
        <w:numPr>
          <w:ilvl w:val="0"/>
          <w:numId w:val="13"/>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Признать в действиях Заказчика нарушение части 9 статьи 54.3 Закона о контрактной системе.</w:t>
      </w:r>
    </w:p>
    <w:p>
      <w:pPr>
        <w:pStyle w:val="Style12"/>
        <w:numPr>
          <w:ilvl w:val="0"/>
          <w:numId w:val="13"/>
        </w:numPr>
        <w:widowControl w:val="0"/>
        <w:keepNext w:val="0"/>
        <w:keepLines w:val="0"/>
        <w:shd w:val="clear" w:color="auto" w:fill="auto"/>
        <w:bidi w:val="0"/>
        <w:jc w:val="both"/>
        <w:spacing w:before="0" w:after="0" w:line="302" w:lineRule="exact"/>
        <w:ind w:left="20" w:right="20" w:firstLine="600"/>
      </w:pPr>
      <w:r>
        <w:rPr>
          <w:lang w:val="ru-RU" w:eastAsia="ru-RU" w:bidi="ru-RU"/>
          <w:sz w:val="24"/>
          <w:szCs w:val="24"/>
          <w:w w:val="100"/>
          <w:spacing w:val="0"/>
          <w:color w:val="000000"/>
          <w:position w:val="0"/>
        </w:rPr>
        <w:t xml:space="preserve"> Выдать Заказчику, Уполномоченному учреждению обязательное для исполнения предписание об устранении выявленных нарушений.</w:t>
      </w:r>
    </w:p>
    <w:p>
      <w:pPr>
        <w:pStyle w:val="Style12"/>
        <w:widowControl w:val="0"/>
        <w:keepNext w:val="0"/>
        <w:keepLines w:val="0"/>
        <w:shd w:val="clear" w:color="auto" w:fill="auto"/>
        <w:bidi w:val="0"/>
        <w:jc w:val="both"/>
        <w:spacing w:before="0" w:after="417" w:line="302" w:lineRule="exact"/>
        <w:ind w:left="20" w:right="20" w:firstLine="60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2"/>
        <w:widowControl w:val="0"/>
        <w:keepNext w:val="0"/>
        <w:keepLines w:val="0"/>
        <w:shd w:val="clear" w:color="auto" w:fill="auto"/>
        <w:bidi w:val="0"/>
        <w:jc w:val="left"/>
        <w:spacing w:before="0" w:after="0" w:line="456" w:lineRule="exact"/>
        <w:ind w:left="20" w:right="2620" w:firstLine="0"/>
      </w:pPr>
      <w:r>
        <w:rPr>
          <w:lang w:val="ru-RU" w:eastAsia="ru-RU" w:bidi="ru-RU"/>
          <w:sz w:val="24"/>
          <w:szCs w:val="24"/>
          <w:w w:val="100"/>
          <w:spacing w:val="0"/>
          <w:color w:val="000000"/>
          <w:position w:val="0"/>
        </w:rPr>
        <w:t>Председатель Комиссии Члены Комиссии:</w:t>
      </w:r>
    </w:p>
    <w:p>
      <w:pPr>
        <w:pStyle w:val="Style12"/>
        <w:widowControl w:val="0"/>
        <w:keepNext w:val="0"/>
        <w:keepLines w:val="0"/>
        <w:shd w:val="clear" w:color="auto" w:fill="auto"/>
        <w:bidi w:val="0"/>
        <w:jc w:val="left"/>
        <w:spacing w:before="0" w:after="0" w:line="240" w:lineRule="exact"/>
        <w:ind w:left="7340" w:right="0" w:firstLine="0"/>
      </w:pPr>
      <w:r>
        <w:rPr>
          <w:lang w:val="ru-RU" w:eastAsia="ru-RU" w:bidi="ru-RU"/>
          <w:sz w:val="24"/>
          <w:szCs w:val="24"/>
          <w:w w:val="100"/>
          <w:spacing w:val="0"/>
          <w:color w:val="000000"/>
          <w:position w:val="0"/>
        </w:rPr>
        <w:t>М.А. Пшизов</w:t>
      </w:r>
    </w:p>
    <w:sectPr>
      <w:type w:val="continuous"/>
      <w:pgSz w:w="11906" w:h="16838"/>
      <w:pgMar w:top="1097" w:left="1648" w:right="637" w:bottom="190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05.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27.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rFonts w:ascii="Times New Roman" w:eastAsia="Times New Roman" w:hAnsi="Times New Roman" w:cs="Times New Roman"/>
    </w:rPr>
  </w:style>
  <w:style w:type="character" w:customStyle="1" w:styleId="CharStyle14">
    <w:name w:val="Основной текст"/>
    <w:basedOn w:val="CharStyle13"/>
    <w:rPr>
      <w:lang w:val="ru-RU" w:eastAsia="ru-RU" w:bidi="ru-RU"/>
      <w:sz w:val="24"/>
      <w:szCs w:val="24"/>
      <w:w w:val="100"/>
      <w:spacing w:val="0"/>
      <w:color w:val="000000"/>
      <w:position w:val="0"/>
    </w:rPr>
  </w:style>
  <w:style w:type="character" w:customStyle="1" w:styleId="CharStyle16">
    <w:name w:val="Заголовок №1_"/>
    <w:basedOn w:val="DefaultParagraphFont"/>
    <w:link w:val="Style15"/>
    <w:rPr>
      <w:b w:val="0"/>
      <w:bCs w:val="0"/>
      <w:i w:val="0"/>
      <w:iCs w:val="0"/>
      <w:u w:val="none"/>
      <w:strike w:val="0"/>
      <w:smallCaps w:val="0"/>
      <w:sz w:val="34"/>
      <w:szCs w:val="34"/>
      <w:rFonts w:ascii="Times New Roman" w:eastAsia="Times New Roman" w:hAnsi="Times New Roman" w:cs="Times New Roman"/>
      <w:spacing w:val="70"/>
    </w:rPr>
  </w:style>
  <w:style w:type="character" w:customStyle="1" w:styleId="CharStyle17">
    <w:name w:val="Основной текст + Полужирный"/>
    <w:basedOn w:val="CharStyle13"/>
    <w:rPr>
      <w:lang w:val="ru-RU" w:eastAsia="ru-RU" w:bidi="ru-RU"/>
      <w:b/>
      <w:bCs/>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48"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80"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900" w:line="19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spacing w:before="120" w:after="120" w:line="266" w:lineRule="exact"/>
    </w:pPr>
    <w:rPr>
      <w:b w:val="0"/>
      <w:bCs w:val="0"/>
      <w:i w:val="0"/>
      <w:iCs w:val="0"/>
      <w:u w:val="none"/>
      <w:strike w:val="0"/>
      <w:smallCaps w:val="0"/>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outlineLvl w:val="0"/>
      <w:spacing w:line="0" w:lineRule="exact"/>
    </w:pPr>
    <w:rPr>
      <w:b w:val="0"/>
      <w:bCs w:val="0"/>
      <w:i w:val="0"/>
      <w:iCs w:val="0"/>
      <w:u w:val="none"/>
      <w:strike w:val="0"/>
      <w:smallCaps w:val="0"/>
      <w:sz w:val="34"/>
      <w:szCs w:val="34"/>
      <w:rFonts w:ascii="Times New Roman" w:eastAsia="Times New Roman" w:hAnsi="Times New Roman" w:cs="Times New Roman"/>
      <w:spacing w:val="7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