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15"/>
        <w:ind w:left="1160" w:right="20" w:firstLine="0"/>
      </w:pPr>
      <w:r>
        <w:rPr>
          <w:lang w:val="ru-RU" w:eastAsia="ru-RU" w:bidi="ru-RU"/>
          <w:w w:val="100"/>
          <w:spacing w:val="0"/>
          <w:color w:val="000000"/>
          <w:position w:val="0"/>
        </w:rPr>
        <w:t>ГБУ «Центр культуры и спорта «Измайлово»</w:t>
      </w:r>
    </w:p>
    <w:p>
      <w:pPr>
        <w:pStyle w:val="Style5"/>
        <w:widowControl w:val="0"/>
        <w:keepNext w:val="0"/>
        <w:keepLines w:val="0"/>
        <w:shd w:val="clear" w:color="auto" w:fill="auto"/>
        <w:bidi w:val="0"/>
        <w:spacing w:before="0" w:after="319" w:line="283" w:lineRule="exact"/>
        <w:ind w:left="1160" w:right="20" w:firstLine="0"/>
      </w:pPr>
      <w:r>
        <w:rPr>
          <w:lang w:val="ru-RU" w:eastAsia="ru-RU" w:bidi="ru-RU"/>
          <w:w w:val="100"/>
          <w:spacing w:val="0"/>
          <w:color w:val="000000"/>
          <w:position w:val="0"/>
        </w:rPr>
        <w:t>ул. Верхняя Первомайская, д. 32, г. Москва, 105264</w:t>
      </w:r>
    </w:p>
    <w:p>
      <w:pPr>
        <w:pStyle w:val="Style5"/>
        <w:widowControl w:val="0"/>
        <w:keepNext w:val="0"/>
        <w:keepLines w:val="0"/>
        <w:shd w:val="clear" w:color="auto" w:fill="auto"/>
        <w:bidi w:val="0"/>
        <w:jc w:val="right"/>
        <w:spacing w:before="0" w:after="307" w:line="260" w:lineRule="exact"/>
        <w:ind w:left="0" w:right="20" w:firstLine="0"/>
      </w:pPr>
      <w:r>
        <w:rPr>
          <w:lang w:val="ru-RU" w:eastAsia="ru-RU" w:bidi="ru-RU"/>
          <w:w w:val="100"/>
          <w:spacing w:val="0"/>
          <w:color w:val="000000"/>
          <w:position w:val="0"/>
        </w:rPr>
        <w:t>ГКУ «Дирекция ЖКХиБ ВАО»</w:t>
      </w:r>
    </w:p>
    <w:p>
      <w:pPr>
        <w:pStyle w:val="Style5"/>
        <w:widowControl w:val="0"/>
        <w:keepNext w:val="0"/>
        <w:keepLines w:val="0"/>
        <w:shd w:val="clear" w:color="auto" w:fill="auto"/>
        <w:bidi w:val="0"/>
        <w:spacing w:before="0" w:after="346" w:line="317" w:lineRule="exact"/>
        <w:ind w:left="1160" w:right="20" w:firstLine="0"/>
      </w:pPr>
      <w:r>
        <w:rPr>
          <w:lang w:val="ru-RU" w:eastAsia="ru-RU" w:bidi="ru-RU"/>
          <w:w w:val="100"/>
          <w:spacing w:val="0"/>
          <w:color w:val="000000"/>
          <w:position w:val="0"/>
        </w:rPr>
        <w:t>пер. Колодезный, д. 14, г. Москва, 107076</w:t>
      </w:r>
    </w:p>
    <w:p>
      <w:pPr>
        <w:pStyle w:val="Style5"/>
        <w:widowControl w:val="0"/>
        <w:keepNext w:val="0"/>
        <w:keepLines w:val="0"/>
        <w:shd w:val="clear" w:color="auto" w:fill="auto"/>
        <w:bidi w:val="0"/>
        <w:jc w:val="right"/>
        <w:spacing w:before="0" w:after="308" w:line="260" w:lineRule="exact"/>
        <w:ind w:left="0" w:right="20" w:firstLine="0"/>
      </w:pPr>
      <w:r>
        <w:rPr>
          <w:lang w:val="ru-RU" w:eastAsia="ru-RU" w:bidi="ru-RU"/>
          <w:w w:val="100"/>
          <w:spacing w:val="0"/>
          <w:color w:val="000000"/>
          <w:position w:val="0"/>
        </w:rPr>
        <w:t>ООО «Парк Техно»</w:t>
      </w:r>
    </w:p>
    <w:p>
      <w:pPr>
        <w:pStyle w:val="Style5"/>
        <w:widowControl w:val="0"/>
        <w:keepNext w:val="0"/>
        <w:keepLines w:val="0"/>
        <w:shd w:val="clear" w:color="auto" w:fill="auto"/>
        <w:bidi w:val="0"/>
        <w:jc w:val="left"/>
        <w:spacing w:before="0" w:after="349" w:line="322" w:lineRule="exact"/>
        <w:ind w:left="5320" w:right="20"/>
      </w:pPr>
      <w:r>
        <w:rPr>
          <w:lang w:val="ru-RU" w:eastAsia="ru-RU" w:bidi="ru-RU"/>
          <w:w w:val="100"/>
          <w:spacing w:val="0"/>
          <w:color w:val="000000"/>
          <w:position w:val="0"/>
        </w:rPr>
        <w:t xml:space="preserve">пр-кт. Победы, д. 27, пом. </w:t>
      </w:r>
      <w:r>
        <w:rPr>
          <w:lang w:val="en-US" w:eastAsia="en-US" w:bidi="en-US"/>
          <w:w w:val="100"/>
          <w:spacing w:val="0"/>
          <w:color w:val="000000"/>
          <w:position w:val="0"/>
        </w:rPr>
        <w:t xml:space="preserve">4-II-4, </w:t>
      </w:r>
      <w:r>
        <w:rPr>
          <w:lang w:val="ru-RU" w:eastAsia="ru-RU" w:bidi="ru-RU"/>
          <w:w w:val="100"/>
          <w:spacing w:val="0"/>
          <w:color w:val="000000"/>
          <w:position w:val="0"/>
        </w:rPr>
        <w:t>оф. 401/3, г. Тверь, 170008</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right"/>
        <w:spacing w:before="0" w:after="598" w:line="260" w:lineRule="exact"/>
        <w:ind w:left="0" w:right="20" w:firstLine="0"/>
      </w:pPr>
      <w:r>
        <w:rPr>
          <w:lang w:val="ru-RU" w:eastAsia="ru-RU" w:bidi="ru-RU"/>
          <w:w w:val="100"/>
          <w:spacing w:val="0"/>
          <w:color w:val="000000"/>
          <w:position w:val="0"/>
        </w:rPr>
        <w:t>60-я Октября пр., д. 9, г. Москва, 117312</w:t>
      </w:r>
    </w:p>
    <w:p>
      <w:pPr>
        <w:pStyle w:val="Style7"/>
        <w:tabs>
          <w:tab w:leader="none" w:pos="11180" w:val="left"/>
        </w:tabs>
        <w:widowControl w:val="0"/>
        <w:keepNext w:val="0"/>
        <w:keepLines w:val="0"/>
        <w:shd w:val="clear" w:color="auto" w:fill="auto"/>
        <w:bidi w:val="0"/>
        <w:jc w:val="left"/>
        <w:spacing w:before="0" w:after="0"/>
        <w:ind w:left="2300" w:right="2300" w:firstLine="2040"/>
      </w:pPr>
      <w:r>
        <w:rPr>
          <w:lang w:val="ru-RU" w:eastAsia="ru-RU" w:bidi="ru-RU"/>
          <w:w w:val="100"/>
          <w:spacing w:val="0"/>
          <w:color w:val="000000"/>
          <w:position w:val="0"/>
        </w:rPr>
        <w:t>РЕШЕНИЕ по делу №077/06/106-1848/2021 о нарушении законодательства о контрактной системе</w:t>
      </w:r>
    </w:p>
    <w:p>
      <w:pPr>
        <w:pStyle w:val="Style7"/>
        <w:numPr>
          <w:ilvl w:val="0"/>
          <w:numId w:val="1"/>
        </w:numPr>
        <w:tabs>
          <w:tab w:leader="none" w:pos="8902" w:val="left"/>
          <w:tab w:leader="none" w:pos="890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spacing w:before="0" w:after="0" w:line="322" w:lineRule="exact"/>
        <w:ind w:left="20" w:right="0" w:firstLine="6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5"/>
        <w:widowControl w:val="0"/>
        <w:keepNext w:val="0"/>
        <w:keepLines w:val="0"/>
        <w:shd w:val="clear" w:color="auto" w:fill="auto"/>
        <w:bidi w:val="0"/>
        <w:spacing w:before="0" w:after="0" w:line="322" w:lineRule="exact"/>
        <w:ind w:left="20" w:right="0" w:firstLine="66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20"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Н.С. Лушниковой,</w:t>
      </w:r>
    </w:p>
    <w:p>
      <w:pPr>
        <w:pStyle w:val="Style5"/>
        <w:tabs>
          <w:tab w:leader="none" w:pos="598" w:val="left"/>
        </w:tabs>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представитель ООО «Парк Техно»: Т.Н. Фримучкова (дов. № 54 от 29.01.2021) участвовал в заседании Комиссии Управления посредством конференц-связи,</w:t>
      </w:r>
    </w:p>
    <w:p>
      <w:pPr>
        <w:pStyle w:val="Style3"/>
        <w:framePr w:w="1349" w:h="427" w:wrap="around" w:vAnchor="text" w:hAnchor="margin" w:x="351" w:y="44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000531250468</w:t>
      </w:r>
    </w:p>
    <w:p>
      <w:pPr>
        <w:pStyle w:val="Style5"/>
        <w:widowControl w:val="0"/>
        <w:keepNext w:val="0"/>
        <w:keepLines w:val="0"/>
        <w:shd w:val="clear" w:color="auto" w:fill="auto"/>
        <w:bidi w:val="0"/>
        <w:spacing w:before="0" w:after="0" w:line="322" w:lineRule="exact"/>
        <w:ind w:left="20" w:right="0" w:firstLine="660"/>
      </w:pPr>
      <w:r>
        <w:rPr>
          <w:lang w:val="ru-RU" w:eastAsia="ru-RU" w:bidi="ru-RU"/>
          <w:w w:val="100"/>
          <w:spacing w:val="0"/>
          <w:color w:val="000000"/>
          <w:position w:val="0"/>
        </w:rPr>
        <w:t>в отсутствие представителей ГКУ «Дирекция ЖКХиБ ВАО», ГБУ «Центр</w:t>
      </w:r>
      <w:r>
        <w:br w:type="page"/>
      </w:r>
    </w:p>
    <w:p>
      <w:pPr>
        <w:pStyle w:val="Style5"/>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культуры и спорта «Измайлово», о времени и порядке заседания Комиссии Управления уведомлены письмом Московского УФАС России от 03.02.2021 № ЕИ/5836/21,</w:t>
      </w:r>
    </w:p>
    <w:p>
      <w:pPr>
        <w:pStyle w:val="Style5"/>
        <w:tabs>
          <w:tab w:leader="none" w:pos="10186" w:val="right"/>
        </w:tabs>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рассмотрев жалобу ООО «Парк Техно» (далее - Заявитель) на действия ГБУ «Центр культуры и спорта «Измайлово» (далее — Заказчик) при проведении конкурса с ограниченным участием в электронной форме на право заключения государственного контракта на разработку проектной документации на ремонтные, реставрационные работы и приспособление для современного использования объекта культурного наследия дом культуры «Строитель» по адресу: г. Москва, Измайловская площадь, д. 1А (Закупка №</w:t>
        <w:tab/>
        <w:t>0373200006220001378)</w:t>
      </w:r>
    </w:p>
    <w:p>
      <w:pPr>
        <w:pStyle w:val="Style5"/>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330" w:line="260" w:lineRule="exact"/>
        <w:ind w:left="0" w:right="18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 с ограниченным участием в электронной форме.</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03.02.2021 № ЕИ/5836/21 документы и сведения.</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составе своей жалобы Заявитель указывает на то, что в адрес Заказчика был направлен запрос о даче разъяснений положений конкурсной документации, в свою очередь Заказчиком в разъяснениях указано, что будут внесены изменения в конкурсную документацию, однако изменения не были внесены.</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Согласно ч.4 ст.56.1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 определенных ст.56.1 Закона о контрактной системе.</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Согласно ч.6 ст.54.3 Закона о контрактной системе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Законом о контрактной системе .</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соответствии с ч.7 ст.54.3 Закона о контрактной системе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w:t>
        <w:softHyphen/>
        <w:t>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силу ч.8 ст.54.3 Закона о контрактной системе в течение двух рабочих дней с даты поступления от оператора электронной площадки указанного в ч.7 ст.54.3 Закона о контрактной системе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Комиссия Управления отмечает, что согласно данным государственной информационной системы «Независимый регистратор» запрос на разъяснения положений конкурсной документации направлен Заказчику 26.01.2021, вместе с этим Заказчиком размещено разъяснение положений конкурсной документации от</w:t>
      </w:r>
    </w:p>
    <w:p>
      <w:pPr>
        <w:pStyle w:val="Style5"/>
        <w:numPr>
          <w:ilvl w:val="0"/>
          <w:numId w:val="3"/>
        </w:numPr>
        <w:tabs>
          <w:tab w:leader="none" w:pos="1384" w:val="left"/>
        </w:tabs>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№6 в тексте которого указывается следующее:</w:t>
      </w:r>
    </w:p>
    <w:p>
      <w:pPr>
        <w:pStyle w:val="Style5"/>
        <w:widowControl w:val="0"/>
        <w:keepNext w:val="0"/>
        <w:keepLines w:val="0"/>
        <w:shd w:val="clear" w:color="auto" w:fill="auto"/>
        <w:bidi w:val="0"/>
        <w:spacing w:before="0" w:after="0" w:line="260" w:lineRule="exact"/>
        <w:ind w:left="20" w:right="0" w:firstLine="700"/>
      </w:pPr>
      <w:r>
        <w:rPr>
          <w:lang w:val="ru-RU" w:eastAsia="ru-RU" w:bidi="ru-RU"/>
          <w:w w:val="100"/>
          <w:spacing w:val="0"/>
          <w:color w:val="000000"/>
          <w:position w:val="0"/>
        </w:rPr>
        <w:t>«Текст запроса:</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Добрый день! Просим разъяснить следующие пункты. 1) В приложении 3 к Техническому заданию не указаны все технико-экономические показатели объекта, не указан строительный объем объекта, что не позволяет участнику закупки объективно оценить объем выполняемых работ по проектированию. Просим внести в документацию указанные сведения. 2) В приложении 3 к Техническому заданию не указана информация о наличии/отсутствии объектов археологического наследия в границах территории (прилегающей территории), что не позволяет потенциальному участнику оценить сложность проведения археоологических изысканий.</w:t>
      </w:r>
    </w:p>
    <w:p>
      <w:pPr>
        <w:pStyle w:val="Style5"/>
        <w:widowControl w:val="0"/>
        <w:keepNext w:val="0"/>
        <w:keepLines w:val="0"/>
        <w:shd w:val="clear" w:color="auto" w:fill="auto"/>
        <w:bidi w:val="0"/>
        <w:spacing w:before="0" w:after="0" w:line="260" w:lineRule="exact"/>
        <w:ind w:left="20" w:right="0" w:firstLine="700"/>
      </w:pPr>
      <w:r>
        <w:rPr>
          <w:lang w:val="ru-RU" w:eastAsia="ru-RU" w:bidi="ru-RU"/>
          <w:w w:val="100"/>
          <w:spacing w:val="0"/>
          <w:color w:val="000000"/>
          <w:position w:val="0"/>
        </w:rPr>
        <w:t>Ответ: В аукционную документацию будет внесено изменение».</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Вместе с этим, Комиссией Управления установлено, что Заказчиком соответствующие изменения в конкурсную документацию внесены не были.</w:t>
      </w:r>
    </w:p>
    <w:p>
      <w:pPr>
        <w:pStyle w:val="Style5"/>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Таким образом Комиссия Управления приходит к выводу, о нарушении Заказчиком ч.6, ч.8 ст.54.3 Закона о контрактной системе.</w:t>
      </w:r>
    </w:p>
    <w:p>
      <w:pPr>
        <w:pStyle w:val="Style5"/>
        <w:widowControl w:val="0"/>
        <w:keepNext w:val="0"/>
        <w:keepLines w:val="0"/>
        <w:shd w:val="clear" w:color="auto" w:fill="auto"/>
        <w:bidi w:val="0"/>
        <w:spacing w:before="0" w:after="0" w:line="30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326"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spacing w:before="0" w:after="0" w:line="293" w:lineRule="exact"/>
        <w:ind w:left="20" w:right="20" w:firstLine="720"/>
      </w:pPr>
      <w:r>
        <w:rPr>
          <w:lang w:val="ru-RU" w:eastAsia="ru-RU" w:bidi="ru-RU"/>
          <w:w w:val="100"/>
          <w:spacing w:val="0"/>
          <w:color w:val="000000"/>
          <w:position w:val="0"/>
        </w:rPr>
        <w:t xml:space="preserve"> Признать жалобу ООО «Парк Техно» на действия ГБУ «Центр культуры и спорта «Измайлово» обоснованной.</w:t>
      </w:r>
    </w:p>
    <w:p>
      <w:pPr>
        <w:pStyle w:val="Style5"/>
        <w:numPr>
          <w:ilvl w:val="0"/>
          <w:numId w:val="5"/>
        </w:numPr>
        <w:widowControl w:val="0"/>
        <w:keepNext w:val="0"/>
        <w:keepLines w:val="0"/>
        <w:shd w:val="clear" w:color="auto" w:fill="auto"/>
        <w:bidi w:val="0"/>
        <w:spacing w:before="0" w:after="0" w:line="302" w:lineRule="exact"/>
        <w:ind w:left="20" w:right="20" w:firstLine="720"/>
      </w:pPr>
      <w:r>
        <w:rPr>
          <w:lang w:val="ru-RU" w:eastAsia="ru-RU" w:bidi="ru-RU"/>
          <w:w w:val="100"/>
          <w:spacing w:val="0"/>
          <w:color w:val="000000"/>
          <w:position w:val="0"/>
        </w:rPr>
        <w:t xml:space="preserve"> Признать в действиях Заказчика нарушения ч.6, ч.8 ст.54.3 Закона о контрактной системе.</w:t>
      </w:r>
    </w:p>
    <w:p>
      <w:pPr>
        <w:pStyle w:val="Style5"/>
        <w:numPr>
          <w:ilvl w:val="0"/>
          <w:numId w:val="5"/>
        </w:numPr>
        <w:widowControl w:val="0"/>
        <w:keepNext w:val="0"/>
        <w:keepLines w:val="0"/>
        <w:shd w:val="clear" w:color="auto" w:fill="auto"/>
        <w:bidi w:val="0"/>
        <w:spacing w:before="0" w:after="312" w:line="302"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об осуществлении закупок.</w:t>
      </w:r>
    </w:p>
    <w:p>
      <w:pPr>
        <w:pStyle w:val="Style5"/>
        <w:widowControl w:val="0"/>
        <w:keepNext w:val="0"/>
        <w:keepLines w:val="0"/>
        <w:shd w:val="clear" w:color="auto" w:fill="auto"/>
        <w:bidi w:val="0"/>
        <w:spacing w:before="0" w:after="54" w:line="288"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598" w:val="left"/>
        </w:tabs>
        <w:widowControl w:val="0"/>
        <w:keepNext w:val="0"/>
        <w:keepLines w:val="0"/>
        <w:shd w:val="clear" w:color="auto" w:fill="auto"/>
        <w:bidi w:val="0"/>
        <w:spacing w:before="0" w:after="0" w:line="595" w:lineRule="exact"/>
        <w:ind w:left="20" w:right="0" w:firstLine="0"/>
      </w:pPr>
      <w:r>
        <w:rPr>
          <w:lang w:val="ru-RU" w:eastAsia="ru-RU" w:bidi="ru-RU"/>
          <w:w w:val="100"/>
          <w:spacing w:val="0"/>
          <w:color w:val="000000"/>
          <w:position w:val="0"/>
        </w:rPr>
        <w:t>Заместитель председателя Комиссии</w:t>
        <w:tab/>
        <w:t>ДА. Сологов</w:t>
      </w:r>
    </w:p>
    <w:p>
      <w:pPr>
        <w:pStyle w:val="Style5"/>
        <w:tabs>
          <w:tab w:leader="none" w:pos="8497" w:val="center"/>
          <w:tab w:leader="none" w:pos="10210" w:val="right"/>
        </w:tabs>
        <w:widowControl w:val="0"/>
        <w:keepNext w:val="0"/>
        <w:keepLines w:val="0"/>
        <w:shd w:val="clear" w:color="auto" w:fill="auto"/>
        <w:bidi w:val="0"/>
        <w:spacing w:before="0" w:after="0" w:line="595" w:lineRule="exact"/>
        <w:ind w:left="20" w:right="0" w:firstLine="0"/>
      </w:pPr>
      <w:r>
        <w:rPr>
          <w:lang w:val="ru-RU" w:eastAsia="ru-RU" w:bidi="ru-RU"/>
          <w:w w:val="100"/>
          <w:spacing w:val="0"/>
          <w:color w:val="000000"/>
          <w:position w:val="0"/>
        </w:rPr>
        <w:t>Члены Комиссии</w:t>
        <w:tab/>
        <w:t>Н.С.</w:t>
        <w:tab/>
        <w:t>Лушникова</w:t>
      </w:r>
    </w:p>
    <w:p>
      <w:pPr>
        <w:pStyle w:val="Style5"/>
        <w:widowControl w:val="0"/>
        <w:keepNext w:val="0"/>
        <w:keepLines w:val="0"/>
        <w:shd w:val="clear" w:color="auto" w:fill="auto"/>
        <w:bidi w:val="0"/>
        <w:jc w:val="right"/>
        <w:spacing w:before="0" w:after="7142" w:line="260" w:lineRule="exact"/>
        <w:ind w:left="0" w:right="20" w:firstLine="0"/>
      </w:pPr>
      <w:r>
        <w:rPr>
          <w:lang w:val="ru-RU" w:eastAsia="ru-RU" w:bidi="ru-RU"/>
          <w:w w:val="100"/>
          <w:spacing w:val="0"/>
          <w:color w:val="000000"/>
          <w:position w:val="0"/>
        </w:rPr>
        <w:t>А.А. Матюшенко</w:t>
      </w:r>
    </w:p>
    <w:p>
      <w:pPr>
        <w:pStyle w:val="Style11"/>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151" w:left="847" w:right="845" w:bottom="10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7.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180" w:line="326" w:lineRule="exact"/>
      <w:ind w:hanging="416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7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7200" w:line="0"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