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57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46 ДЗМ»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Казакова, д. 17А, г. Москва, 105064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«Стройсервисгрупп»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Курыжова, д. 18, корп. 1, пом. 2, г. Домодедово (Южный мкр.), Московская обл., 142000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38" w:line="260" w:lineRule="exact"/>
        <w:ind w:left="5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5"/>
        <w:tabs>
          <w:tab w:leader="none" w:pos="896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077/06/106-1839/2021 о нарушении Законодательства о контрактной системе 08.02.2021</w:t>
        <w:tab/>
        <w:t>г. 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З. Касимовой,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 Матвеева,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3"/>
        <w:tabs>
          <w:tab w:leader="none" w:pos="859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ГБУЗ «ГП №</w:t>
        <w:tab/>
        <w:t>46 ДЗМ»,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«Стройсервисгрупп»,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56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«Стройсервисгрупп» (далее — Заявитель) на действия ГБУЗ «ГП № 46 ДЗМ» (далее — Заказчик) при проведении электронного аукциона на право заключения государственного контракта на оказание услуг по заправке картриджей для нужд ГБУЗ «ГП № 46 ДЗМ» в 2021 году (Закупка № 0373200052421000002) (далее — Аукцион), в соответствии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001331184371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 соответствии с Административным регламентом, утвержденным Приказом ФАС России от 19.11.2014 № 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12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утверждений положений аукционной документации в нарушении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представлены запрашиваемые письмом Московского УФАС России от 03.02.2021 № ЕИ/5774/21 документы и сведения.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ч.2 ст.33 Закона о контрактной системе документация, о закупке в соответствии с требованиями, указанными в ч.1 ст.33 Закона о контрактной системе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3"/>
        <w:numPr>
          <w:ilvl w:val="0"/>
          <w:numId w:val="5"/>
        </w:numPr>
        <w:tabs>
          <w:tab w:leader="none" w:pos="104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требования, установленные в технической части аукционной документации являются избыточными, а также, по мнению Заявителя, могут повлечь за собой ограничение количества участников закупки, а именно: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 6.2.5. «Услуги должны быть оказаны сервис - инженерами (в штате должно быть не менее 3 человек)»;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 6.2.6. «Исполнитель должен иметь в наличии полный парк печатающих устройств, соответствующих номенклатуре картриджей Заказчика, для проведения обязательного тестирования заправленных (восстановленных) картриджей перед отправкой Заказчику»;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 6.2.4. «Оказание услуг должно производиться на современных станциях очистки в комплекте с компрессором и пылесосом для оргтехники».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Заявителя пояснил, что для оказания услуг участник закупки вправе самостоятельно определить необходимое количество привлекаемых специалистов для достижения необходимого результата оказанных услуг, в связи с чем требование об оказании услуг как минимум тремя сервис-инженерами носит избыточный характер и установлено в нарушение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для проведения тестирования заправленных (восстановленных) картриджей не обязательно иметь полный парк печатающих устройств, поскольку картриджи могут быть протестированы на одном устройстве, если они относятся к определенному типу, виду принтера.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Также, по мнению Заявителя, современные станции очистки в комплекте с компрессором и пылесосом для оргтехники включают в себя очистку, замену по необходимости деталей либо заправку тонером. Таким образом, в связи с тем, что объектом закупки является оказание услуг по заправке картриджей, аукционная документация содержит избыточные требования к способу оказания услуг, не влияющие на их результат.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установление требований к наличию определенных производственных мощностей, технологического оборудования, трудовых ресурсов участника закупки является нарушением ч.3 ст.33 Закона о контрактной системе, в частности установление требований к конкретному числу работников не влияет прямо на качество и своевременность оказываемых услуг, которое может в каждом конкретном случае зависеть от таких факторов как профессионализм сотрудников, качество используемых материалов при оказании услуг, технологичность оборудования и т.п.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 33 Закона о контрактной системе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 2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представителем Заказчика не представлены сведения, свидетельствующие о правомерности установления вышеуказанных требований, в том числе не представлены документы, обосновывающие необходимость установления таких требований.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нарушении Заказчиком п. 1 ч. 1, ч. 3 ст. 33 Закона о контрактной системе.</w:t>
      </w:r>
    </w:p>
    <w:p>
      <w:pPr>
        <w:pStyle w:val="Style3"/>
        <w:numPr>
          <w:ilvl w:val="0"/>
          <w:numId w:val="5"/>
        </w:numPr>
        <w:tabs>
          <w:tab w:leader="none" w:pos="12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Заказчиком в технической части аукционной документации неправомерно установлены следующие положения: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-п.7.3. «Принятый к исполнению заказ выполняется не более 3 рабочих дней. Моментом выполнения заказа считается подписание акта приема-передачи оборудования, причем 1 день (из трех дней) отводится для входного тестирования картриджей Заказчиком»;</w:t>
      </w:r>
    </w:p>
    <w:p>
      <w:pPr>
        <w:pStyle w:val="Style3"/>
        <w:tabs>
          <w:tab w:leader="none" w:pos="12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</w:t>
        <w:tab/>
        <w:t>9 «Место оказания услуг - Требуется обязательное нахождения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представителя «Исполнителя» услуг по ремонту и восстановлению картриджей на объекте заказчика по адресу г. Москва, ул. Казакова д.17А, ГБУЗ «ГП №46 ДЗМ».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8-30 до 17-30». С необходимыми материалами и запчастями для безотказной работы оргтехники в Поликлинике. Со своей стороны Заказчик оставляет за собой право расторгнуть контракт в случае не нахождения инженера по оргтехнике от Исполнителя на объекте более 3-х дней. О чем уведомляется на электронный адрес Исполнителя. Требования к представителю не ниже Инженер по оргтехники, с подтвержденным обучением и сертификацией у ведущих Вендеров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(HP, Canon, Lexmark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д.р. в соответствии с указанными картриджами в Т.З. В случае отсутствия у представителя должного обучения и подтвержденной квалификации. Заказчик оставляет за собой право расторгнуть контракт в уведомительном порядке. И выставить неустойку Исполнителю согласно условий контракта»;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-п. 10 «Срок гарантии на оказанные услуги: гарантия на оказываемые услуги составляет 1 год с момента подписания акта сдачи-приемки оказанных услуг. В случае если в течение гарантийного срока будут выявлены дефекты в работе, возникнут претензии к качеству заправки или некорректной работе чипов, то устранение выявленного брака Исполнитель гарантирует осуществить в течение пяти рабочих дней за свой счет, без учёта стоимости оказанной ранее услуги».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2 ст. 42 Закона о контрактной системе в извещении об осуществлении закупки должна содержаться краткое изложение условий контракта, содержащее наименование и описание объекта закупки с учетом требований, предусмотренных ст. 33 Закона о контрактной системе,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 4 ст. 33 Закона о контрактной системе 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товара, устанавливаются заказчиком при необходимости. В случае определения поставщика машин и оборудования заказчик устанавливает в документации о закупке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срока, а также к осуществлению монтажа и наладки товара, если это предусмотрено технической документацией на товар.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(или) поставщика данного товара и к сроку действия такой гарантии. Предоставление такой гарантии осуществляется вместе с данным товаром.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Заявителем в жалобе не приведены сведения, подтверждающие обоснованность указанных доводов жалобы, в том числе указывающие на нарушение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положений Закона о контрактной системе при установлении вышеуказанных положений технической части аукционной документации, а также указывающие на ограничение количества участников закупки, и свидетельствующие об отсутствии возможности формирования заявки на участие в вышеуказанной процедуре.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протоколу рассмотрения заявок на участие в электронном аукционе от 03.02.2021 №0373200052421000002-1 участниками закупки подано 5 заявок, признанные соответствующими требованиям аукционной документации, что в свою очередь свидетельствует об отсутствии ограничения количества участников закупки, в том числе обстоятельств, препятствующих формированию заявки на участие в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 Комиссия Управления приходит к выводу о необоснованности данных доводов.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46" w:line="317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регламентом, утвержденным приказом ФАС России от 19.11.2014 №727/14, Законом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10" w:line="26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«Стройсервисгрупп» на действия ГБУЗ «ГП № 46 ДЗМ» обоснованной в части установления неправомерных требований к наличию определенных производственных мощностей, технологического оборудования, трудовых ресурсов у участника закупки.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п.1 ч.1, ч.3 ст.33 Закона о контрактной системе.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39" w:line="31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pStyle w:val="Style3"/>
        <w:tabs>
          <w:tab w:leader="none" w:pos="9010" w:val="right"/>
          <w:tab w:leader="none" w:pos="101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председатель Комиссии</w:t>
        <w:tab/>
        <w:t>С.И.</w:t>
        <w:tab/>
        <w:t>Казарин</w:t>
      </w:r>
    </w:p>
    <w:p>
      <w:pPr>
        <w:pStyle w:val="Style3"/>
        <w:tabs>
          <w:tab w:leader="none" w:pos="10157" w:val="right"/>
          <w:tab w:leader="none" w:pos="101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А.З.</w:t>
        <w:tab/>
        <w:t>Касимова</w:t>
      </w:r>
    </w:p>
    <w:p>
      <w:pPr>
        <w:pStyle w:val="Style3"/>
        <w:tabs>
          <w:tab w:leader="none" w:pos="91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723" w:line="260" w:lineRule="exact"/>
        <w:ind w:left="8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В.А. Матвеев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Касимова А.З. 495-784-75-05 (доб. 077-186)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5" w:left="850" w:right="846" w:bottom="13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Letter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Штрих-код (2)_"/>
    <w:basedOn w:val="DefaultParagraphFont"/>
    <w:link w:val="Style7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960" w:line="322" w:lineRule="exact"/>
      <w:ind w:firstLine="436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Штрих-код (2)"/>
    <w:basedOn w:val="Normal"/>
    <w:link w:val="CharStyle8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both"/>
      <w:spacing w:before="78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