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3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ФГБУК «ГАЦТК им. С.В. Образцова»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89" w:line="322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Садовая-Самотечная, д. 3, г. Москва, 127473, </w:t>
      </w:r>
      <w:r>
        <w:fldChar w:fldCharType="begin"/>
      </w:r>
      <w:r>
        <w:rPr>
          <w:color w:val="000000"/>
        </w:rPr>
        <w:instrText> HYPERLINK "mailto:tender@puppet.ru"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tender@puppet.ru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308" w:line="260" w:lineRule="exact"/>
        <w:ind w:left="5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«ПроцессорГрупп»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280" w:line="322" w:lineRule="exact"/>
        <w:ind w:left="53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Революции 1905 года , д. 86 Д, оф. 109, г. Воронеж, 394030, </w:t>
      </w:r>
      <w:r>
        <w:fldChar w:fldCharType="begin"/>
      </w:r>
      <w:r>
        <w:rPr>
          <w:color w:val="000000"/>
        </w:rPr>
        <w:instrText> HYPERLINK "mailto:processorgrupp.vrn@yandex.ru"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processorgrupp.vrn@yandex.ru</w:t>
      </w:r>
      <w:r>
        <w:fldChar w:fldCharType="end"/>
      </w:r>
    </w:p>
    <w:p>
      <w:pPr>
        <w:pStyle w:val="Style7"/>
        <w:tabs>
          <w:tab w:leader="none" w:pos="10148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делу № 077/06/106-1898/2021 о нарушении Законодательства о контрактной системе 08.02.2021</w:t>
        <w:tab/>
        <w:t>Москва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обжалование государственных закупок К.А. Сомова,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А.А. Кутеникова,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Ведущего специалиста-эксперта отдела обжалования государственных закупок Н.А. Узкого,</w:t>
      </w:r>
    </w:p>
    <w:p>
      <w:pPr>
        <w:pStyle w:val="Style5"/>
        <w:tabs>
          <w:tab w:leader="none" w:pos="5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рассмотрение жалобы проводилось дистанционно (посредством конференц</w:t>
        <w:softHyphen/>
        <w:t>связи) в целях исполнения Указа Мэра Москвы от 25.09.2020 №</w:t>
        <w:tab/>
        <w:t>92-УМ «О внесении изменений в правовые акты города Москвы»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предупреждения распространения в городе Москве инфекции, вызванной коронавирусом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>2019-nCoV.,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участии представителя ФГБУК «ГАЦТК им. С.В. Образцова»: А.А. Артемьева (по доверенности от 01.10.2020 №243/20),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ООО «ПроцессорГрупп», о времени и порядке рассмотрения уведомлены письмом Московского УФАС России от 03.02.2021 №ЕИ/5929/21,</w:t>
      </w:r>
    </w:p>
    <w:p>
      <w:pPr>
        <w:pStyle w:val="Style3"/>
        <w:framePr w:w="1349" w:h="427" w:wrap="around" w:vAnchor="text" w:hAnchor="margin" w:x="351" w:y="851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000394998057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176" w:line="322" w:lineRule="exact"/>
        <w:ind w:left="20" w:right="20" w:firstLine="72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669" w:left="843" w:right="853" w:bottom="1168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«ПроцессорГрупп» (далее — Заявитель) на действия ФГБУК «ГАЦТК им. С.В. Образцова» (далее-Заказчик) при проведении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6" w:line="31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электронного аукциона на право заключения государственного контракта на поставку расходных материалов для оргтехники (Закупка № 0373100041520000011) (далее - электронный аукцион,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Административным регламентом, утвержденным Приказом ФАС России от 19.11.2014 № 727/14,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308" w:line="260" w:lineRule="exact"/>
        <w:ind w:left="2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  <w:bookmarkEnd w:id="0"/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обжалует положения аукционной документации, установленные в нарушение Закона о контрактной системе.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заседание Комиссии Управления Заказчиком представлены документы и сведения, запрашиваемые письмом Московского УФАС России от 03.02.2021 №ЕИ/5929/21.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Заявитель обжалует факт установления требования о поставке расходных материалов конкретного производителя —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 позициям 19-25, без указания на возможность поставки эквивалентных товаров, а также Заявитель указывает на то, что данные картриджи сняты с производства и не могут быть поставлены Заказчику.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п.1 ч. 1 ст.64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ст. 33 Закона о контрактной системе, в том числе обоснование начальной (максимальной) цены контракта, начальных цен единиц товара, работы, услуги.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Ч.1 ст.33 Закона о контрактной системе установлено, что Заказчик при описании в документации о закупке объекта закупки должен руководствоваться следующими правилами:</w:t>
      </w:r>
    </w:p>
    <w:p>
      <w:pPr>
        <w:pStyle w:val="Style5"/>
        <w:numPr>
          <w:ilvl w:val="0"/>
          <w:numId w:val="1"/>
        </w:numPr>
        <w:tabs>
          <w:tab w:leader="none" w:pos="109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5"/>
        <w:numPr>
          <w:ilvl w:val="0"/>
          <w:numId w:val="1"/>
        </w:numPr>
        <w:tabs>
          <w:tab w:leader="none" w:pos="113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ч.2 ст.33 Закона о контрактной системе документация о закупке в соответствии с требованиями, указанными в ч.1 ст.33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Комиссией Управления установлено, что Заказчиком в технической части аукционной документации установлены требования к товарам, необходимым к поставке, в частности: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п.19 «Комплект картриджей для принтера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DesignJet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130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84 и № 85 полный комплект 6 цветов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C5016, C9425A, C9426A, C9427A, C9428A, C9429A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Комплект состоит из 6 картриджей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C5016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84 (черный, 69 мл, 3700 стр)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C9425A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85 (голубой, 28 мл, 550 стр.)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C9426A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85 (пурпурный, 28 мл, 550 стр.)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C9427A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85 (желтый, 69 мл, 1750 стр.)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C9428A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85 (светло-голубой, 69 мл, 1750 стр) Картридж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HP C9429A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№ 85 (светло-пурпурный, 69 мл, 1750 стр)»: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п.20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C9420A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Cyan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голубая»: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C9423A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Light Cyan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светло-</w:t>
      </w:r>
    </w:p>
    <w:p>
      <w:pPr>
        <w:pStyle w:val="Style5"/>
        <w:tabs>
          <w:tab w:leader="none" w:pos="14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голубая»:</w:t>
        <w:tab/>
        <w:t xml:space="preserve">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C9424A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Light Magenta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светло</w:t>
        <w:softHyphen/>
        <w:t xml:space="preserve">пурпурный»: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п.23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C9421A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Magenta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пурпурная»: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C9422A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Yellow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желтая»: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п.25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«HP C5019A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Печатающая головка 84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Printhead Black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черная»: «НР </w:t>
      </w:r>
      <w:r>
        <w:rPr>
          <w:lang w:val="en-US" w:eastAsia="en-US" w:bidi="en-US"/>
          <w:w w:val="100"/>
          <w:spacing w:val="0"/>
          <w:color w:val="000000"/>
          <w:position w:val="0"/>
        </w:rPr>
        <w:t>DesignJet130».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ч.2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 и участвовать в ее рассмотрении лично или через своих представителей.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 заседании Комиссии Управления представитель Заказчика пояснил, что объектом закупки является поставка расходных материалов для имеющихся на балансе Заказчика принтеров. Согласно письму ЗАО Хьюлетт-Пакад АО, являющегося предствителем компании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Hewlett-Packard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от 11.03.2015, компания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Hewlett-Packard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не предоставляет лицензии и техническую документацию сторонним компаниям на производство, на восстановление и перезаправку принтерных картриджей и также не несет ответственность за производство этих картриджей. На подобную продукцию компания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Hewlett-Packard,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как производитель печатной техники, не подтверждает эквивалентность оригинальным картриджам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Hewlett-Packard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 не подтверждает их совместимость с печатным оборудованием, произведенным компанией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Hewlett-Packard.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П. 6 Технического задания предусмотрено, что действия Поставщика не должны привести к прекращению гарантийного обслуживания оборудования компанией-производителем: </w:t>
      </w:r>
      <w:r>
        <w:rPr>
          <w:lang w:val="en-US" w:eastAsia="en-US" w:bidi="en-US"/>
          <w:w w:val="100"/>
          <w:spacing w:val="0"/>
          <w:color w:val="000000"/>
          <w:position w:val="0"/>
        </w:rPr>
        <w:t>Epson, Hewlett Packard, Brother, Kyocera.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на заседании Комиссии Управления представитель Заказчика представил сведения из сети Интернет подтверждающих возможность закупки указанных картриджей.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При этом на заседании Комиссии Управления, а также в составе жалобы Заявителем не представлены документы и сведения, подтверждающие доводы жалобы, в том числе, что у участников закупки отсутствует возможность поставки указанных оригинальных картриджей </w:t>
      </w:r>
      <w:r>
        <w:rPr>
          <w:lang w:val="en-US" w:eastAsia="en-US" w:bidi="en-US"/>
          <w:w w:val="100"/>
          <w:spacing w:val="0"/>
          <w:color w:val="000000"/>
          <w:position w:val="0"/>
        </w:rPr>
        <w:t>HP.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вышеизложенного, Комиссия Управления приходит к выводу о том, что вышеописанные довод жалобы не нашли своего подтверждения и являются необоснованными.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20"/>
        <w:sectPr>
          <w:pgSz w:w="11906" w:h="16838"/>
          <w:pgMar w:top="1744" w:left="843" w:right="843" w:bottom="1941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Исследовав представленные материалы, руководствуясь Административным регламентом, утвержденным приказом ФАС России от 19.11.2014 № 727/14, Законом о контрактной системе, Комиссия Управления</w:t>
      </w:r>
    </w:p>
    <w:p>
      <w:pPr>
        <w:pStyle w:val="Style9"/>
        <w:widowControl w:val="0"/>
        <w:keepNext/>
        <w:keepLines/>
        <w:shd w:val="clear" w:color="auto" w:fill="auto"/>
        <w:bidi w:val="0"/>
        <w:spacing w:before="0" w:after="299" w:line="260" w:lineRule="exact"/>
        <w:ind w:left="2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  <w:bookmarkEnd w:id="1"/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жалобу ООО «ПроцессорГрупп» на действия ФГБУК «ГАЦТК им. С.В. Образцова» необоснованной.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Снять ограничения на определение поставщика (подрядчика, исполнителя), наложенные письмом Московского УФАС России от 03.02.2021 №ЕИ/5929/21.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pStyle w:val="Style5"/>
        <w:framePr w:w="2104" w:h="1282" w:vSpace="328" w:wrap="around" w:vAnchor="text" w:hAnchor="margin" w:x="8078" w:y="-318"/>
        <w:widowControl w:val="0"/>
        <w:keepNext w:val="0"/>
        <w:keepLines w:val="0"/>
        <w:shd w:val="clear" w:color="auto" w:fill="auto"/>
        <w:bidi w:val="0"/>
        <w:jc w:val="right"/>
        <w:spacing w:before="0" w:after="0" w:line="638" w:lineRule="exact"/>
        <w:ind w:left="100" w:right="20" w:firstLine="0"/>
      </w:pPr>
      <w:r>
        <w:rPr>
          <w:rStyle w:val="CharStyle11"/>
          <w:spacing w:val="0"/>
        </w:rPr>
        <w:t>К.А. Сомов А.А. Кутейников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643" w:lineRule="exact"/>
        <w:ind w:left="0" w:right="37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 Члены Комиссии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right"/>
        <w:spacing w:before="0" w:after="6544" w:line="643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Н.А. Узкий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60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Кутейников А.А. 8(495) 784-75-05 (077-162) </w:t>
      </w:r>
      <w:r>
        <w:rPr>
          <w:rStyle w:val="CharStyle14"/>
          <w:b w:val="0"/>
          <w:bCs w:val="0"/>
        </w:rPr>
        <w:t>2021-8575</w:t>
      </w:r>
    </w:p>
    <w:sectPr>
      <w:pgSz w:w="11906" w:h="16838"/>
      <w:pgMar w:top="1386" w:left="850" w:right="850" w:bottom="82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Заголовок №1_"/>
    <w:basedOn w:val="DefaultParagraphFont"/>
    <w:link w:val="Style9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1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1"/>
    </w:rPr>
  </w:style>
  <w:style w:type="character" w:customStyle="1" w:styleId="CharStyle13">
    <w:name w:val="Основной текст (3)_"/>
    <w:basedOn w:val="DefaultParagraphFont"/>
    <w:link w:val="Style12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4">
    <w:name w:val="Основной текст (3) + 13 pt,Не полужирный"/>
    <w:basedOn w:val="CharStyle13"/>
    <w:rPr>
      <w:lang w:val="ru-RU" w:eastAsia="ru-RU" w:bidi="ru-RU"/>
      <w:b/>
      <w:bCs/>
      <w:sz w:val="26"/>
      <w:szCs w:val="26"/>
      <w:w w:val="100"/>
      <w:spacing w:val="0"/>
      <w:color w:val="000000"/>
      <w:position w:val="0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2280" w:line="322" w:lineRule="exact"/>
      <w:ind w:firstLine="434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FFFFFF"/>
      <w:jc w:val="center"/>
      <w:outlineLvl w:val="0"/>
      <w:spacing w:before="24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2">
    <w:name w:val="Основной текст (3)"/>
    <w:basedOn w:val="Normal"/>
    <w:link w:val="CharStyle13"/>
    <w:pPr>
      <w:widowControl w:val="0"/>
      <w:shd w:val="clear" w:color="auto" w:fill="FFFFFF"/>
      <w:spacing w:before="7020" w:line="1238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