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40" w:wrap="around" w:vAnchor="text" w:hAnchor="margin" w:x="1628" w:y="3518"/>
        <w:widowControl w:val="0"/>
        <w:keepNext w:val="0"/>
        <w:keepLines w:val="0"/>
        <w:shd w:val="clear" w:color="auto" w:fill="auto"/>
        <w:bidi w:val="0"/>
        <w:jc w:val="left"/>
        <w:spacing w:before="0" w:after="0" w:line="14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9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9"/>
        <w:ind w:left="0" w:right="0" w:firstLine="0"/>
      </w:pPr>
      <w:r>
        <w:rPr>
          <w:rStyle w:val="CharStyle11"/>
        </w:rPr>
        <w:t>УПРАВЛЕНИЕ Федеральной антимонопольной службы по Республике Адыгея</w:t>
      </w:r>
    </w:p>
    <w:p>
      <w:pPr>
        <w:pStyle w:val="Style3"/>
        <w:widowControl w:val="0"/>
        <w:keepNext w:val="0"/>
        <w:keepLines w:val="0"/>
        <w:shd w:val="clear" w:color="auto" w:fill="auto"/>
        <w:bidi w:val="0"/>
        <w:spacing w:before="0" w:after="316"/>
        <w:ind w:left="0" w:right="0" w:firstLine="0"/>
      </w:pPr>
      <w:r>
        <w:rPr>
          <w:rStyle w:val="CharStyle13"/>
        </w:rPr>
        <w:t xml:space="preserve">ул. Ленина, 40, г. Майкоп, 385000 Тел./факс: (8772) 57-05-22 </w:t>
      </w:r>
      <w:r>
        <w:rPr>
          <w:rStyle w:val="CharStyle13"/>
          <w:lang w:val="en-US" w:eastAsia="en-US" w:bidi="en-US"/>
        </w:rPr>
        <w:t xml:space="preserve">e-mail: </w:t>
      </w:r>
      <w:r>
        <w:fldChar w:fldCharType="begin"/>
      </w:r>
      <w:r>
        <w:rPr>
          <w:rStyle w:val="CharStyle13"/>
        </w:rPr>
        <w:instrText> HYPERLINK "mailto:to01@fas.gov.ru" </w:instrText>
      </w:r>
      <w:r>
        <w:fldChar w:fldCharType="separate"/>
      </w:r>
      <w:r>
        <w:rPr>
          <w:rStyle w:val="Hyperlink"/>
          <w:lang w:val="en-US" w:eastAsia="en-US" w:bidi="en-US"/>
        </w:rPr>
        <w:t>to01@fas.gov.ru</w:t>
      </w:r>
      <w:r>
        <w:fldChar w:fldCharType="end"/>
      </w:r>
    </w:p>
    <w:p>
      <w:pPr>
        <w:pStyle w:val="Style14"/>
        <w:widowControl w:val="0"/>
        <w:keepNext/>
        <w:keepLines/>
        <w:shd w:val="clear" w:color="auto" w:fill="auto"/>
        <w:bidi w:val="0"/>
        <w:jc w:val="left"/>
        <w:spacing w:before="0" w:after="242" w:line="320" w:lineRule="exact"/>
        <w:ind w:left="180" w:right="0" w:firstLine="0"/>
      </w:pPr>
      <w:bookmarkStart w:id="0" w:name="bookmark0"/>
      <w:r>
        <w:rPr>
          <w:rStyle w:val="CharStyle16"/>
          <w:i/>
          <w:iCs/>
        </w:rPr>
        <w:t>/tatoZQU</w:t>
      </w:r>
      <w:r>
        <w:rPr>
          <w:rStyle w:val="CharStyle17"/>
          <w:i w:val="0"/>
          <w:iCs w:val="0"/>
        </w:rPr>
        <w:t xml:space="preserve"> </w:t>
      </w:r>
      <w:r>
        <w:rPr>
          <w:rStyle w:val="CharStyle18"/>
          <w:i w:val="0"/>
          <w:iCs w:val="0"/>
        </w:rPr>
        <w:t xml:space="preserve">№ </w:t>
      </w:r>
      <w:r>
        <w:rPr>
          <w:rStyle w:val="CharStyle16"/>
          <w:lang w:val="ru-RU" w:eastAsia="ru-RU" w:bidi="ru-RU"/>
          <w:i/>
          <w:iCs/>
        </w:rPr>
        <w:t>463</w:t>
      </w:r>
      <w:bookmarkEnd w:id="0"/>
    </w:p>
    <w:p>
      <w:pPr>
        <w:pStyle w:val="Style3"/>
        <w:widowControl w:val="0"/>
        <w:keepNext w:val="0"/>
        <w:keepLines w:val="0"/>
        <w:shd w:val="clear" w:color="auto" w:fill="auto"/>
        <w:bidi w:val="0"/>
        <w:jc w:val="left"/>
        <w:spacing w:before="0" w:after="0" w:line="150" w:lineRule="exact"/>
        <w:ind w:left="20" w:right="0" w:firstLine="0"/>
      </w:pPr>
      <w:r>
        <w:rPr>
          <w:rStyle w:val="CharStyle13"/>
        </w:rPr>
        <w:t>На №</w:t>
      </w:r>
    </w:p>
    <w:p>
      <w:pPr>
        <w:pStyle w:val="Style6"/>
        <w:widowControl w:val="0"/>
        <w:keepNext w:val="0"/>
        <w:keepLines w:val="0"/>
        <w:shd w:val="clear" w:color="auto" w:fill="auto"/>
        <w:bidi w:val="0"/>
        <w:jc w:val="right"/>
        <w:spacing w:before="0" w:after="106"/>
        <w:ind w:left="20" w:right="20" w:firstLine="0"/>
      </w:pPr>
      <w:r>
        <w:rPr>
          <w:rStyle w:val="CharStyle8"/>
          <w:b/>
          <w:bCs/>
        </w:rPr>
        <w:t>МОНОПОЛИЕМ ПЭШ1УЕКЮРЭ ФЕДЕРАЛЬНО КЪУЛЫКЪУР</w:t>
      </w:r>
    </w:p>
    <w:p>
      <w:pPr>
        <w:pStyle w:val="Style9"/>
        <w:widowControl w:val="0"/>
        <w:keepNext w:val="0"/>
        <w:keepLines w:val="0"/>
        <w:shd w:val="clear" w:color="auto" w:fill="auto"/>
        <w:bidi w:val="0"/>
        <w:jc w:val="left"/>
        <w:spacing w:before="0" w:after="182" w:line="266" w:lineRule="exact"/>
        <w:ind w:left="360" w:right="20" w:firstLine="0"/>
      </w:pPr>
      <w:r>
        <w:rPr>
          <w:rStyle w:val="CharStyle11"/>
        </w:rPr>
        <w:t>Монополием пэш1уек1орэ Федеральнэ къулыкъум Адыгэ РеспубликэмкЬ и Гъэ1орыш1ап1</w:t>
      </w:r>
    </w:p>
    <w:p>
      <w:pPr>
        <w:pStyle w:val="Style3"/>
        <w:widowControl w:val="0"/>
        <w:keepNext w:val="0"/>
        <w:keepLines w:val="0"/>
        <w:shd w:val="clear" w:color="auto" w:fill="auto"/>
        <w:bidi w:val="0"/>
        <w:spacing w:before="0" w:after="150"/>
        <w:ind w:left="0" w:right="560" w:firstLine="0"/>
      </w:pPr>
      <w:r>
        <w:rPr>
          <w:rStyle w:val="CharStyle13"/>
        </w:rPr>
        <w:t xml:space="preserve">Лениным иур, 40, къ. Мыекъуапэ, 385000 Тел./факс: (8772) 57-05-22 </w:t>
      </w:r>
      <w:r>
        <w:rPr>
          <w:rStyle w:val="CharStyle13"/>
          <w:lang w:val="en-US" w:eastAsia="en-US" w:bidi="en-US"/>
        </w:rPr>
        <w:t xml:space="preserve">e-mail: </w:t>
      </w:r>
      <w:r>
        <w:fldChar w:fldCharType="begin"/>
      </w:r>
      <w:r>
        <w:rPr>
          <w:rStyle w:val="CharStyle13"/>
        </w:rPr>
        <w:instrText> HYPERLINK "mailto:to01@fas.gov.ru" </w:instrText>
      </w:r>
      <w:r>
        <w:fldChar w:fldCharType="separate"/>
      </w:r>
      <w:r>
        <w:rPr>
          <w:rStyle w:val="Hyperlink"/>
          <w:lang w:val="en-US" w:eastAsia="en-US" w:bidi="en-US"/>
        </w:rPr>
        <w:t>to01@fas.gov.ru</w:t>
      </w:r>
      <w:r>
        <w:fldChar w:fldCharType="end"/>
      </w:r>
    </w:p>
    <w:p>
      <w:pPr>
        <w:pStyle w:val="Style9"/>
        <w:widowControl w:val="0"/>
        <w:keepNext w:val="0"/>
        <w:keepLines w:val="0"/>
        <w:shd w:val="clear" w:color="auto" w:fill="auto"/>
        <w:bidi w:val="0"/>
        <w:jc w:val="right"/>
        <w:spacing w:before="0" w:after="0" w:line="302" w:lineRule="exact"/>
        <w:ind w:left="0" w:right="20" w:firstLine="0"/>
      </w:pPr>
      <w:r>
        <w:rPr>
          <w:lang w:val="ru-RU" w:eastAsia="ru-RU" w:bidi="ru-RU"/>
          <w:sz w:val="24"/>
          <w:szCs w:val="24"/>
          <w:w w:val="100"/>
          <w:spacing w:val="0"/>
          <w:color w:val="000000"/>
          <w:position w:val="0"/>
        </w:rPr>
        <w:t>ООО «Мегастрой»</w:t>
      </w:r>
    </w:p>
    <w:p>
      <w:pPr>
        <w:pStyle w:val="Style9"/>
        <w:widowControl w:val="0"/>
        <w:keepNext w:val="0"/>
        <w:keepLines w:val="0"/>
        <w:shd w:val="clear" w:color="auto" w:fill="auto"/>
        <w:bidi w:val="0"/>
        <w:jc w:val="right"/>
        <w:spacing w:before="0" w:after="0" w:line="302" w:lineRule="exact"/>
        <w:ind w:left="0" w:right="20" w:firstLine="0"/>
      </w:pPr>
      <w:r>
        <w:rPr>
          <w:lang w:val="ru-RU" w:eastAsia="ru-RU" w:bidi="ru-RU"/>
          <w:sz w:val="24"/>
          <w:szCs w:val="24"/>
          <w:w w:val="100"/>
          <w:spacing w:val="0"/>
          <w:color w:val="000000"/>
          <w:position w:val="0"/>
        </w:rPr>
        <w:t>368581, Республика Дагестан, Дахадаевский район,</w:t>
      </w:r>
    </w:p>
    <w:p>
      <w:pPr>
        <w:pStyle w:val="Style9"/>
        <w:widowControl w:val="0"/>
        <w:keepNext w:val="0"/>
        <w:keepLines w:val="0"/>
        <w:shd w:val="clear" w:color="auto" w:fill="auto"/>
        <w:bidi w:val="0"/>
        <w:jc w:val="right"/>
        <w:spacing w:before="0" w:after="0" w:line="302" w:lineRule="exact"/>
        <w:ind w:left="0" w:right="20" w:firstLine="0"/>
      </w:pPr>
      <w:r>
        <w:rPr>
          <w:lang w:val="ru-RU" w:eastAsia="ru-RU" w:bidi="ru-RU"/>
          <w:sz w:val="24"/>
          <w:szCs w:val="24"/>
          <w:w w:val="100"/>
          <w:spacing w:val="0"/>
          <w:color w:val="000000"/>
          <w:position w:val="0"/>
        </w:rPr>
        <w:t>село Дибгаши</w:t>
      </w:r>
    </w:p>
    <w:p>
      <w:pPr>
        <w:pStyle w:val="Style9"/>
        <w:widowControl w:val="0"/>
        <w:keepNext w:val="0"/>
        <w:keepLines w:val="0"/>
        <w:shd w:val="clear" w:color="auto" w:fill="auto"/>
        <w:bidi w:val="0"/>
        <w:jc w:val="right"/>
        <w:spacing w:before="0" w:after="244" w:line="302" w:lineRule="exact"/>
        <w:ind w:left="0" w:right="20" w:firstLine="0"/>
      </w:pPr>
      <w:r>
        <w:rPr>
          <w:lang w:val="en-US" w:eastAsia="en-US" w:bidi="en-US"/>
          <w:sz w:val="24"/>
          <w:szCs w:val="24"/>
          <w:w w:val="100"/>
          <w:spacing w:val="0"/>
          <w:color w:val="000000"/>
          <w:position w:val="0"/>
        </w:rPr>
        <w:t xml:space="preserve">E-mail: </w:t>
      </w:r>
      <w:r>
        <w:fldChar w:fldCharType="begin"/>
      </w:r>
      <w:r>
        <w:rPr>
          <w:color w:val="000000"/>
        </w:rPr>
        <w:instrText> HYPERLINK "mailto:fas@pamgroup.ru" </w:instrText>
      </w:r>
      <w:r>
        <w:fldChar w:fldCharType="separate"/>
      </w:r>
      <w:r>
        <w:rPr>
          <w:rStyle w:val="Hyperlink"/>
          <w:lang w:val="en-US" w:eastAsia="en-US" w:bidi="en-US"/>
          <w:sz w:val="24"/>
          <w:szCs w:val="24"/>
          <w:w w:val="100"/>
          <w:spacing w:val="0"/>
          <w:position w:val="0"/>
        </w:rPr>
        <w:t>fas@pamgroup.ru</w:t>
      </w:r>
      <w:r>
        <w:fldChar w:fldCharType="end"/>
      </w:r>
    </w:p>
    <w:p>
      <w:pPr>
        <w:pStyle w:val="Style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Администрация муниципального образования «Абадзехское сельское поселение»</w:t>
      </w:r>
    </w:p>
    <w:p>
      <w:pPr>
        <w:pStyle w:val="Style9"/>
        <w:widowControl w:val="0"/>
        <w:keepNext w:val="0"/>
        <w:keepLines w:val="0"/>
        <w:shd w:val="clear" w:color="auto" w:fill="auto"/>
        <w:bidi w:val="0"/>
        <w:jc w:val="right"/>
        <w:spacing w:before="0" w:after="0" w:line="298" w:lineRule="exact"/>
        <w:ind w:left="0" w:right="20" w:firstLine="0"/>
      </w:pPr>
      <w:r>
        <w:rPr>
          <w:lang w:val="ru-RU" w:eastAsia="ru-RU" w:bidi="ru-RU"/>
          <w:sz w:val="24"/>
          <w:szCs w:val="24"/>
          <w:w w:val="100"/>
          <w:spacing w:val="0"/>
          <w:color w:val="000000"/>
          <w:position w:val="0"/>
        </w:rPr>
        <w:t>385774, Майкопский район, станица Абадзехская,</w:t>
      </w:r>
    </w:p>
    <w:p>
      <w:pPr>
        <w:pStyle w:val="Style9"/>
        <w:widowControl w:val="0"/>
        <w:keepNext w:val="0"/>
        <w:keepLines w:val="0"/>
        <w:shd w:val="clear" w:color="auto" w:fill="auto"/>
        <w:bidi w:val="0"/>
        <w:jc w:val="right"/>
        <w:spacing w:before="0" w:after="0" w:line="298" w:lineRule="exact"/>
        <w:ind w:left="0" w:right="20" w:firstLine="0"/>
      </w:pPr>
      <w:r>
        <w:rPr>
          <w:lang w:val="ru-RU" w:eastAsia="ru-RU" w:bidi="ru-RU"/>
          <w:sz w:val="24"/>
          <w:szCs w:val="24"/>
          <w:w w:val="100"/>
          <w:spacing w:val="0"/>
          <w:color w:val="000000"/>
          <w:position w:val="0"/>
        </w:rPr>
        <w:t>улица Винника, 52</w:t>
      </w:r>
    </w:p>
    <w:p>
      <w:pPr>
        <w:pStyle w:val="Style9"/>
        <w:widowControl w:val="0"/>
        <w:keepNext w:val="0"/>
        <w:keepLines w:val="0"/>
        <w:shd w:val="clear" w:color="auto" w:fill="auto"/>
        <w:bidi w:val="0"/>
        <w:jc w:val="right"/>
        <w:spacing w:before="0" w:after="237" w:line="298" w:lineRule="exact"/>
        <w:ind w:left="0" w:right="20" w:firstLine="0"/>
      </w:pPr>
      <w:r>
        <w:rPr>
          <w:lang w:val="en-US" w:eastAsia="en-US" w:bidi="en-US"/>
          <w:sz w:val="24"/>
          <w:szCs w:val="24"/>
          <w:w w:val="100"/>
          <w:spacing w:val="0"/>
          <w:color w:val="000000"/>
          <w:position w:val="0"/>
        </w:rPr>
        <w:t xml:space="preserve">E-mail: </w:t>
      </w:r>
      <w:r>
        <w:fldChar w:fldCharType="begin"/>
      </w:r>
      <w:r>
        <w:rPr>
          <w:color w:val="000000"/>
        </w:rPr>
        <w:instrText> HYPERLINK "mailto:abadzehposel@yandex.ru" </w:instrText>
      </w:r>
      <w:r>
        <w:fldChar w:fldCharType="separate"/>
      </w:r>
      <w:r>
        <w:rPr>
          <w:rStyle w:val="Hyperlink"/>
          <w:lang w:val="en-US" w:eastAsia="en-US" w:bidi="en-US"/>
          <w:sz w:val="24"/>
          <w:szCs w:val="24"/>
          <w:w w:val="100"/>
          <w:spacing w:val="0"/>
          <w:position w:val="0"/>
        </w:rPr>
        <w:t>abadzehposel@yandex.ru</w:t>
      </w:r>
      <w:r>
        <w:fldChar w:fldCharType="end"/>
      </w:r>
    </w:p>
    <w:p>
      <w:pPr>
        <w:pStyle w:val="Style9"/>
        <w:widowControl w:val="0"/>
        <w:keepNext w:val="0"/>
        <w:keepLines w:val="0"/>
        <w:shd w:val="clear" w:color="auto" w:fill="auto"/>
        <w:bidi w:val="0"/>
        <w:jc w:val="right"/>
        <w:spacing w:before="0" w:after="0" w:line="302" w:lineRule="exact"/>
        <w:ind w:left="0" w:right="20" w:firstLine="0"/>
      </w:pPr>
      <w:r>
        <w:rPr>
          <w:lang w:val="ru-RU" w:eastAsia="ru-RU" w:bidi="ru-RU"/>
          <w:sz w:val="24"/>
          <w:szCs w:val="24"/>
          <w:w w:val="100"/>
          <w:spacing w:val="0"/>
          <w:color w:val="000000"/>
          <w:position w:val="0"/>
        </w:rPr>
        <w:t>МКУ «ЦАТО»</w:t>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385730, Майкопский район, поселок Тульский, улица Советская, 42</w:t>
      </w:r>
    </w:p>
    <w:p>
      <w:pPr>
        <w:pStyle w:val="Style9"/>
        <w:widowControl w:val="0"/>
        <w:keepNext w:val="0"/>
        <w:keepLines w:val="0"/>
        <w:shd w:val="clear" w:color="auto" w:fill="auto"/>
        <w:bidi w:val="0"/>
        <w:jc w:val="right"/>
        <w:spacing w:before="0" w:after="0" w:line="302" w:lineRule="exact"/>
        <w:ind w:left="0" w:right="20" w:firstLine="0"/>
        <w:sectPr>
          <w:footnotePr>
            <w:pos w:val="pageBottom"/>
            <w:numFmt w:val="decimal"/>
            <w:numRestart w:val="continuous"/>
          </w:footnotePr>
          <w:type w:val="continuous"/>
          <w:pgSz w:w="11906" w:h="16838"/>
          <w:pgMar w:top="938" w:left="1199" w:right="1150" w:bottom="915" w:header="0" w:footer="3" w:gutter="0"/>
          <w:rtlGutter w:val="0"/>
          <w:cols w:num="2" w:space="720" w:equalWidth="0">
            <w:col w:w="3517" w:space="167"/>
            <w:col w:w="5873"/>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"mailto:cato.custom@egov01.ru" </w:instrText>
      </w:r>
      <w:r>
        <w:fldChar w:fldCharType="separate"/>
      </w:r>
      <w:r>
        <w:rPr>
          <w:rStyle w:val="Hyperlink"/>
          <w:lang w:val="en-US" w:eastAsia="en-US" w:bidi="en-US"/>
          <w:sz w:val="24"/>
          <w:szCs w:val="24"/>
          <w:w w:val="100"/>
          <w:spacing w:val="0"/>
          <w:position w:val="0"/>
        </w:rPr>
        <w:t>cato.custom@egov01.ru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"mailto:e.lomaka@egov01.ru" </w:instrText>
      </w:r>
      <w:r>
        <w:fldChar w:fldCharType="separate"/>
      </w:r>
      <w:r>
        <w:rPr>
          <w:rStyle w:val="Hyperlink"/>
          <w:lang w:val="en-US" w:eastAsia="en-US" w:bidi="en-US"/>
          <w:sz w:val="24"/>
          <w:szCs w:val="24"/>
          <w:w w:val="100"/>
          <w:spacing w:val="0"/>
          <w:position w:val="0"/>
        </w:rPr>
        <w:t>e.lomaka@egov01.ru</w:t>
      </w:r>
      <w:r>
        <w:fldChar w:fldCharType="end"/>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302" w:lineRule="exact"/>
        <w:ind w:left="0" w:right="0" w:firstLine="0"/>
      </w:pPr>
      <w:r>
        <w:rPr>
          <w:lang w:val="ru-RU" w:eastAsia="ru-RU" w:bidi="ru-RU"/>
          <w:sz w:val="24"/>
          <w:szCs w:val="24"/>
          <w:w w:val="100"/>
          <w:spacing w:val="0"/>
          <w:color w:val="000000"/>
          <w:position w:val="0"/>
        </w:rPr>
        <w:t>РЕШЕНИЕ</w:t>
      </w:r>
    </w:p>
    <w:p>
      <w:pPr>
        <w:pStyle w:val="Style9"/>
        <w:widowControl w:val="0"/>
        <w:keepNext w:val="0"/>
        <w:keepLines w:val="0"/>
        <w:shd w:val="clear" w:color="auto" w:fill="auto"/>
        <w:bidi w:val="0"/>
        <w:spacing w:before="0" w:after="0" w:line="302" w:lineRule="exact"/>
        <w:ind w:left="0" w:right="0" w:firstLine="0"/>
        <w:sectPr>
          <w:type w:val="continuous"/>
          <w:pgSz w:w="11906" w:h="16838"/>
          <w:pgMar w:top="953" w:left="2508" w:right="2129" w:bottom="930" w:header="0" w:footer="3" w:gutter="0"/>
          <w:rtlGutter w:val="0"/>
          <w:cols w:space="720"/>
          <w:noEndnote/>
          <w:docGrid w:linePitch="360"/>
        </w:sectPr>
      </w:pPr>
      <w:r>
        <w:rPr>
          <w:lang w:val="ru-RU" w:eastAsia="ru-RU" w:bidi="ru-RU"/>
          <w:sz w:val="24"/>
          <w:szCs w:val="24"/>
          <w:w w:val="100"/>
          <w:spacing w:val="0"/>
          <w:color w:val="000000"/>
          <w:position w:val="0"/>
        </w:rPr>
        <w:t>по делу №001/06/54.3-53/2021 о нарушении законодательства о контрактной системе в сфере закупок</w:t>
      </w:r>
    </w:p>
    <w:p>
      <w:pPr>
        <w:widowControl w:val="0"/>
        <w:spacing w:line="151"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30" w:wrap="around" w:vAnchor="text" w:hAnchor="margin" w:x="8291" w:y="21"/>
        <w:widowControl w:val="0"/>
        <w:keepNext w:val="0"/>
        <w:keepLines w:val="0"/>
        <w:shd w:val="clear" w:color="auto" w:fill="auto"/>
        <w:bidi w:val="0"/>
        <w:jc w:val="left"/>
        <w:spacing w:before="0" w:after="0" w:line="230" w:lineRule="exact"/>
        <w:ind w:left="100" w:right="0" w:firstLine="0"/>
      </w:pPr>
      <w:r>
        <w:rPr>
          <w:rStyle w:val="CharStyle19"/>
          <w:spacing w:val="0"/>
        </w:rPr>
        <w:t>г.Майкоп</w:t>
      </w:r>
    </w:p>
    <w:p>
      <w:pPr>
        <w:pStyle w:val="Style9"/>
        <w:widowControl w:val="0"/>
        <w:keepNext w:val="0"/>
        <w:keepLines w:val="0"/>
        <w:shd w:val="clear" w:color="auto" w:fill="auto"/>
        <w:bidi w:val="0"/>
        <w:jc w:val="left"/>
        <w:spacing w:before="0" w:after="71" w:line="240" w:lineRule="exact"/>
        <w:ind w:left="20" w:right="0" w:firstLine="0"/>
      </w:pPr>
      <w:r>
        <w:rPr>
          <w:lang w:val="ru-RU" w:eastAsia="ru-RU" w:bidi="ru-RU"/>
          <w:sz w:val="24"/>
          <w:szCs w:val="24"/>
          <w:w w:val="100"/>
          <w:spacing w:val="0"/>
          <w:color w:val="000000"/>
          <w:position w:val="0"/>
        </w:rPr>
        <w:t>11 февраля 2021 года</w:t>
      </w:r>
    </w:p>
    <w:p>
      <w:pPr>
        <w:pStyle w:val="Style9"/>
        <w:widowControl w:val="0"/>
        <w:keepNext w:val="0"/>
        <w:keepLines w:val="0"/>
        <w:shd w:val="clear" w:color="auto" w:fill="auto"/>
        <w:bidi w:val="0"/>
        <w:jc w:val="left"/>
        <w:spacing w:before="0" w:after="64" w:line="302" w:lineRule="exact"/>
        <w:ind w:left="20" w:right="3960" w:firstLine="0"/>
      </w:pPr>
      <w:r>
        <w:rPr>
          <w:lang w:val="ru-RU" w:eastAsia="ru-RU" w:bidi="ru-RU"/>
          <w:sz w:val="24"/>
          <w:szCs w:val="24"/>
          <w:w w:val="100"/>
          <w:spacing w:val="0"/>
          <w:color w:val="000000"/>
          <w:position w:val="0"/>
        </w:rPr>
        <w:t>Резолютивная часть оглашена: 09.02.2021 Решение в полном объеме изготовлено: 11.02.2021</w:t>
      </w:r>
    </w:p>
    <w:p>
      <w:pPr>
        <w:pStyle w:val="Style9"/>
        <w:widowControl w:val="0"/>
        <w:keepNext w:val="0"/>
        <w:keepLines w:val="0"/>
        <w:shd w:val="clear" w:color="auto" w:fill="auto"/>
        <w:bidi w:val="0"/>
        <w:jc w:val="both"/>
        <w:spacing w:before="0" w:after="266" w:line="298" w:lineRule="exact"/>
        <w:ind w:left="20" w:right="20" w:firstLine="60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Женетля А.Ш., заместителя руководителя, членов Комиссии УФАС: Блягоза Р.Х. и Пшизова М.А., ведущих специалистов-экспертов, с участием представителей: Заявителя - ООО «Мегастрой» (далее - Заявитель) Ибрагимова И.Б. (доверенность от 01.02.2021), Уполномоченного учреждения - Муниципального казенного учреждения «Центр административно-технического обслуживания» (далее - Уполномоченное учреждение) Ломаки Е.В. (доверенность от 25.01.2021), рассмотрев жалобу Заявителя на положения документации открытого конкурса в электронной форме на выполнение строительно-монтажных работ по объекту: Капитальный ремонт Абадзехского сельского Дома культуры. Республика Адыгея, Майкопский район, ст. Абадзехская, ул. Клубная, 30-а (извещение №0376300021521000005) (далее - Конкурс), проведя внеплановую проверку на</w:t>
      </w:r>
    </w:p>
    <w:p>
      <w:pPr>
        <w:pStyle w:val="Style20"/>
        <w:widowControl w:val="0"/>
        <w:keepNext/>
        <w:keepLines/>
        <w:shd w:val="clear" w:color="auto" w:fill="auto"/>
        <w:bidi w:val="0"/>
        <w:jc w:val="left"/>
        <w:spacing w:before="0" w:after="0" w:line="340" w:lineRule="exact"/>
        <w:ind w:left="7860" w:right="0" w:firstLine="0"/>
      </w:pPr>
      <w:bookmarkStart w:id="1" w:name="bookmark1"/>
      <w:r>
        <w:rPr>
          <w:lang w:val="ru-RU" w:eastAsia="ru-RU" w:bidi="ru-RU"/>
          <w:color w:val="000000"/>
          <w:position w:val="0"/>
        </w:rPr>
        <w:t>045964</w:t>
      </w:r>
      <w:bookmarkEnd w:id="1"/>
      <w:r>
        <w:br w:type="page"/>
      </w:r>
    </w:p>
    <w:p>
      <w:pPr>
        <w:pStyle w:val="Style9"/>
        <w:widowControl w:val="0"/>
        <w:keepNext w:val="0"/>
        <w:keepLines w:val="0"/>
        <w:shd w:val="clear" w:color="auto" w:fill="auto"/>
        <w:bidi w:val="0"/>
        <w:jc w:val="both"/>
        <w:spacing w:before="0" w:after="114" w:line="307" w:lineRule="exact"/>
        <w:ind w:left="20" w:right="20" w:firstLine="0"/>
      </w:pPr>
      <w:r>
        <w:rPr>
          <w:lang w:val="ru-RU" w:eastAsia="ru-RU" w:bidi="ru-RU"/>
          <w:sz w:val="24"/>
          <w:szCs w:val="24"/>
          <w:w w:val="100"/>
          <w:spacing w:val="0"/>
          <w:color w:val="000000"/>
          <w:position w:val="0"/>
        </w:rPr>
        <w:t>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84" w:line="240" w:lineRule="exact"/>
        <w:ind w:left="4140" w:right="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Управление Федеральной антимонопольной службы по Республике Адыгея (далее - Адыгейское УФАС России) 02.02.2021 поступила жалоба Заявителя, в которой указано, что положения Конкурсной документации не соответствуют Закону о контрактной системе по следующим основаниям:</w:t>
      </w:r>
    </w:p>
    <w:p>
      <w:pPr>
        <w:pStyle w:val="Style9"/>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Конкурсной документации установлено требование о предоставлении в качестве опыта подтверждения выполнения работ исключительно копий контрактов, заключенных в рамках законодательства №44-ФЗ и №223-ФЗ, что лишает возможности предоставить подтверждение опыта сопоставимого характера и объема по гражданско-правовым договорам, которые заключались в процессе обычной хозяйственной деятельности.</w:t>
      </w:r>
    </w:p>
    <w:p>
      <w:pPr>
        <w:pStyle w:val="Style9"/>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Конкурсной документации установлено, что наличие опыта исполненного контракта подтверждается, в том числе копиями дополнительных соглашений к контракту (договору). Вместе с тем, предоставление участником закупки в составе заявки на участие в закупке контракта (договора) без приложения к нему дополнительных соглашений не свидетельствует об отсутствии у участника закупки, подавшего такую заявку, требуемого опыта выполнения работ.</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На основании изложенного Заявитель просит приостановить размещение закупки, признать жалобу обоснованной, обязать Заказчика привести конкурсную документацию в соответствие с законодательством, провести внеплановую проверку, привлечь к административной ответственности виновных лиц.</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Уполномоченное учреждение представило возражение на жалобу исх. №30 от 05.02.2020, в котором просило признать жалобу необоснованной.</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Уполномоченным учреждением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14.01.2021 размещены извещение о проведении закупки и документация Конкурса. 20.01.2021 размещены изменения извещения и документации Конкурса.</w:t>
      </w:r>
    </w:p>
    <w:p>
      <w:pPr>
        <w:pStyle w:val="Style9"/>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Начальная (максимальная) цена контракта - 21 211 900,00 руб.</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Источник финансирования - субсидии из федерального бюджета, субсидии из республиканского бюджета, средства местного бюджета.</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Аукционная документация в последней редакции утверждена главой МО «Абадзехское сельское поселение» Гучетль А. В. - 20.01.2021.</w:t>
      </w:r>
    </w:p>
    <w:p>
      <w:pPr>
        <w:pStyle w:val="Style9"/>
        <w:numPr>
          <w:ilvl w:val="0"/>
          <w:numId w:val="3"/>
        </w:numPr>
        <w:tabs>
          <w:tab w:leader="none" w:pos="968" w:val="left"/>
        </w:tabs>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Согласно пункту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9"/>
        <w:numPr>
          <w:ilvl w:val="0"/>
          <w:numId w:val="5"/>
        </w:numPr>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xml:space="preserve"> цена контракта;</w:t>
      </w:r>
    </w:p>
    <w:p>
      <w:pPr>
        <w:pStyle w:val="Style9"/>
        <w:numPr>
          <w:ilvl w:val="0"/>
          <w:numId w:val="5"/>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 работ;</w:t>
      </w:r>
    </w:p>
    <w:p>
      <w:pPr>
        <w:pStyle w:val="Style9"/>
        <w:numPr>
          <w:ilvl w:val="0"/>
          <w:numId w:val="5"/>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9"/>
        <w:numPr>
          <w:ilvl w:val="0"/>
          <w:numId w:val="5"/>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установлены Постановлением Правительства РФ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(памятников истории и культуры) народов Российской Федерации (далее - объекты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допускается установление в документации о закупке в качестве нестоимостных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27(2) Правил.</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Согласно пункту 27(2)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pPr>
        <w:pStyle w:val="Style9"/>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а) общая стоимость исполненных контрактов (договоров);</w:t>
      </w:r>
    </w:p>
    <w:p>
      <w:pPr>
        <w:pStyle w:val="Style9"/>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б) общее количество исполненных контрактов (договоров);</w:t>
      </w:r>
    </w:p>
    <w:p>
      <w:pPr>
        <w:pStyle w:val="Style9"/>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в) наибольшая цена одного из исполненных контрактов (договоров).</w:t>
      </w:r>
    </w:p>
    <w:p>
      <w:pPr>
        <w:pStyle w:val="Style9"/>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Подпунктом «а» пункта 27(3) Правил предусмотрено, что для оценки заявок</w:t>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(предложений) по показателям, предусмотренным пунктом 27(2) Правил, в документации о закупке устанавливается и учитывается при оценке один или несколько следующих видов контрактов (договоров):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 объекты капитального строительства (за исключением линейных объектов); линейные объекты капитального строительства; особо опасные, технически сложные и уникальные объекты капитального строительства; объекты культурного наследия.</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разделе нестоимостные критерии оценки Приложения №2 к Разделу 2. «Информационная карта конкурса в электронной форме» (далее - Приложения №2) установлено 3 показателя: наибольшая цена одного из исполненных контрактов (договоров), общее количество исполненных контрактов (договоров), общая стоимость исполненных контрактов (договоров).</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По всем показателям установлено следующее: «исполнение соответствующего контракта (договора) подтверждаются информацией представленной в составе заявки согласно Перечню («Форма 1» предложена в Приложении № 1 к «Критериям оценки заявок на участие в открытом конкурсе в электронной форме») с обязательным указанием номера реестровой записи исполненных Контрактов (договоров), из реестра контрактов (договоров), размещенного в единой информационной системе в сфере закупок </w:t>
      </w:r>
      <w:r>
        <w:rPr>
          <w:lang w:val="en-US" w:eastAsia="en-US" w:bidi="en-US"/>
          <w:sz w:val="24"/>
          <w:szCs w:val="24"/>
          <w:w w:val="100"/>
          <w:spacing w:val="0"/>
          <w:color w:val="000000"/>
          <w:position w:val="0"/>
        </w:rPr>
        <w:t>(</w:t>
      </w:r>
      <w:r>
        <w:rPr>
          <w:lang w:val="en-US" w:eastAsia="en-US" w:bidi="en-US"/>
          <w:sz w:val="24"/>
          <w:szCs w:val="24"/>
          <w:w w:val="100"/>
          <w:spacing w:val="0"/>
          <w:color w:val="000000"/>
          <w:position w:val="0"/>
        </w:rPr>
        <w:t>http://zakupki.gov.ru)»</w:t>
      </w:r>
      <w:r>
        <w:rPr>
          <w:lang w:val="en-US" w:eastAsia="en-US" w:bidi="en-US"/>
          <w:sz w:val="24"/>
          <w:szCs w:val="24"/>
          <w:w w:val="100"/>
          <w:spacing w:val="0"/>
          <w:color w:val="000000"/>
          <w:position w:val="0"/>
        </w:rPr>
        <w:t>.</w:t>
      </w:r>
    </w:p>
    <w:p>
      <w:pPr>
        <w:pStyle w:val="Style9"/>
        <w:tabs>
          <w:tab w:leader="none" w:pos="9599" w:val="right"/>
        </w:tabs>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При этом, в Приложении №2 установлено следующее:</w:t>
        <w:tab/>
        <w:t>«документы,</w:t>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подтверждающие квалификацию участника открытого конкурса в электронной форме:</w:t>
      </w:r>
    </w:p>
    <w:p>
      <w:pPr>
        <w:pStyle w:val="Style9"/>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перечень успешно исполненных контрактов/договоров (или указание на исполненный контракт/договор) с указанием реестровых номеров в реестре контрактов по 44-ФЗ или реестре договоров по 223-ФЗ, размещенных в ЕИС, в случае, если в реестре контрактов/договоров данные контракты/договоры находятся в статусе «Исполнение завершено».</w:t>
      </w:r>
    </w:p>
    <w:p>
      <w:pPr>
        <w:pStyle w:val="Style9"/>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случае, если в реестре контрактов/договоров данные контракты/договоры не находятся в статусе «Исполнение завершено», участник представляет перечень исполненных контрактов/договоров (или указание на исполненный контракт/договор), а так же прикладывает следующий перечень документов в отношении каждого контракта/договора:</w:t>
      </w:r>
    </w:p>
    <w:p>
      <w:pPr>
        <w:pStyle w:val="Style9"/>
        <w:numPr>
          <w:ilvl w:val="0"/>
          <w:numId w:val="7"/>
        </w:numPr>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xml:space="preserve"> Копия исполненного контракта/договора;</w:t>
      </w:r>
    </w:p>
    <w:p>
      <w:pPr>
        <w:pStyle w:val="Style9"/>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Копия акта (актов) выполненных работ, содержащие все обязательные реквизиты, установленные частью 2 статьи 9 Федерального закона от 6 декабря 2011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402-ФЗ «О бухгалтерском учете», и подтверждающие стоимость исполненного контракта/договора;</w:t>
      </w:r>
    </w:p>
    <w:p>
      <w:pPr>
        <w:pStyle w:val="Style9"/>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Российской Федерации о градостроительной деятельности)».</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Документация о закупке разрабатывается заказчиком самостоятельно в соответствии с требованиями к содержанию документации о закупке, установленными положениями Закона о контрактной системе и действующим законодательством Российской Федерации.</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Таким образом, разрабатывая документацию о закупке, заказчик руководствуется положениями Закона о контрактной системе с учетом специфики конкретной закупки, установленной в рамках отраслевого законодательства.</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Учитывая изложенное, в целях выявления лучших из предложенных условий исполнения контракта при оценке заявок Заказчик установил в соответствии с пунктами 11, 27 (2) и 27 (3) Правил такие показатели нестоимостного критерия оценки, как наибольшая цена одного из исполненных контрактов (договоров), общее количество исполненных контрактов (договоров), общая стоимость исполненных контрактов (договоров), заключенных в соответствии с Законом о контрактной системе, Федеральным законом от 08.07.2011 г. № 223-ФЗ «О закупках товаров, работ, услуг отдельными видами юридических лиц» предметом которого является выполнение работ по строительству, реконструкции, капитальному ремонту, сносу объекта капитального строительства (за исключением линейных объектов).</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При этом, законодательством о контрактной системе не установлено ограничений в части определения предмета оценки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определённого уровня квалификации», в связи с чем определение содержания данных показателей производится заказчиком самостоятельно, в том числе предмет оценки по показателю и перечень документов, которые должны быть представлены участником для оценки по показателю. Заказчик самостоятельно определяет какие именно документы и сведения являются подтверждением квалификации участника, необходимого заказчику.</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Каждый участник на равных и единых для всех участников условиях вправе предоставить документы, подтверждающие наличие необходимого заказчику опыта, что соответствует принципам контрактной системы - создание равных условий для обеспечения конкуренции между участниками закупок.</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При этом, согласно пункту 6 части 6 статьи 54.4 Закона о контрактной системе не предоставление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 Таким образом, в случае если участник закупки не предоставляет документы по указанным выше показателям, его заявка также подлежит оценке на равных условиях в соответствии с конкурсной документацией.</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Учитывая изложенное, действия Заказчика в части установления порядка оценки по нестоимостному критерию не противоречат положениям Закона о контрактной системе и Постановлению Правительства РФ от 28.11.2013 г. № 1085, следовательно, жалоба в данной части является </w:t>
      </w:r>
      <w:r>
        <w:rPr>
          <w:rStyle w:val="CharStyle22"/>
        </w:rPr>
        <w:t>необоснованной.</w:t>
      </w:r>
    </w:p>
    <w:p>
      <w:pPr>
        <w:pStyle w:val="Style9"/>
        <w:numPr>
          <w:ilvl w:val="0"/>
          <w:numId w:val="3"/>
        </w:numPr>
        <w:tabs>
          <w:tab w:leader="none" w:pos="923" w:val="left"/>
        </w:tabs>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Приложении №2 указано, что если в ходе исполнения контракта/договора были заключены дополнительные соглашения и (или) соглашения о расторжении контракта, то заявка должна содержать копии данных документов. Данное условие направлено на выявление участников, способных исполнить свои обязательства без существенных нарушений обязательств, а так же выявления случаев неполного выполнения, связанного с расторжением контракта на основании одностороннего отказа Заказчиком от его исполнения.</w:t>
      </w:r>
    </w:p>
    <w:p>
      <w:pPr>
        <w:pStyle w:val="Style9"/>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При этом, в Приложении №2 также указано следующее:</w:t>
      </w:r>
    </w:p>
    <w:p>
      <w:pPr>
        <w:pStyle w:val="Style9"/>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«Опыт выполнения работ считается не подтвержденным в случаях:</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если стоимость исполненного контракта ниже указанного минимального количественного значения показателя (подкритерия) нестоимостного критерия (при наличии);</w:t>
      </w:r>
      <w:r>
        <w:br w:type="page"/>
      </w:r>
    </w:p>
    <w:p>
      <w:pPr>
        <w:pStyle w:val="Style9"/>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отсутствия документов, подтверждающих выполнение работ по объекту за последние 5 лет, предшествующие дате окончания приема заявок на участие в закупке (копии исполненного контракта/договора, актов выполненных работ/актов приемки объекта по указанным контрактам,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Российской Федерации о градостроительной деятельности);</w:t>
      </w:r>
    </w:p>
    <w:p>
      <w:pPr>
        <w:pStyle w:val="Style9"/>
        <w:widowControl w:val="0"/>
        <w:keepNext w:val="0"/>
        <w:keepLines w:val="0"/>
        <w:shd w:val="clear" w:color="auto" w:fill="auto"/>
        <w:bidi w:val="0"/>
        <w:jc w:val="left"/>
        <w:spacing w:before="0" w:after="0" w:line="302" w:lineRule="exact"/>
        <w:ind w:left="20" w:right="20" w:firstLine="1040"/>
      </w:pPr>
      <w:r>
        <w:rPr>
          <w:lang w:val="ru-RU" w:eastAsia="ru-RU" w:bidi="ru-RU"/>
          <w:sz w:val="24"/>
          <w:szCs w:val="24"/>
          <w:w w:val="100"/>
          <w:spacing w:val="0"/>
          <w:color w:val="000000"/>
          <w:position w:val="0"/>
        </w:rPr>
        <w:t>несоответствия тематики контрактов (договоров) вышеуказанным требованиям;</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-отсутствия в представленных копиях актов выполненных работ/актов приемки объекта сведений о стоимости выполненных работ;</w:t>
      </w:r>
    </w:p>
    <w:p>
      <w:pPr>
        <w:pStyle w:val="Style9"/>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отсутствия в представленных копиях контрактов (договоров) сведений о сторонах контракта (договора), реквизитах сторон, предмете, цене контракта (договора), сроках исполнения контракта (договора);</w:t>
      </w:r>
    </w:p>
    <w:p>
      <w:pPr>
        <w:pStyle w:val="Style9"/>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случае предоставления участником закупки договора на выполнение субподрядных работ;</w:t>
      </w:r>
    </w:p>
    <w:p>
      <w:pPr>
        <w:pStyle w:val="Style9"/>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случае, если контракт расторгнут на основании одностороннего отказа Заказчиком от исполнения контракта».</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Таким образом, отсутствие в составе заявки на участие в закупке дополнительных соглашений к копии исполненного контракта (договора), не будет являться основанием для того, чтобы данный контракт не засчитывался при расчёте подтверждении опыта работы.</w:t>
      </w:r>
    </w:p>
    <w:p>
      <w:pPr>
        <w:pStyle w:val="Style9"/>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При таких обстоятельствах, Комиссия УФАС приходит к выводу о том, что жалоба в данной части является </w:t>
      </w:r>
      <w:r>
        <w:rPr>
          <w:rStyle w:val="CharStyle22"/>
        </w:rPr>
        <w:t>необоснованной.</w:t>
      </w:r>
    </w:p>
    <w:p>
      <w:pPr>
        <w:pStyle w:val="Style9"/>
        <w:widowControl w:val="0"/>
        <w:keepNext w:val="0"/>
        <w:keepLines w:val="0"/>
        <w:shd w:val="clear" w:color="auto" w:fill="auto"/>
        <w:bidi w:val="0"/>
        <w:jc w:val="both"/>
        <w:spacing w:before="0" w:after="110" w:line="302" w:lineRule="exact"/>
        <w:ind w:left="20" w:right="20" w:firstLine="60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9"/>
        <w:widowControl w:val="0"/>
        <w:keepNext w:val="0"/>
        <w:keepLines w:val="0"/>
        <w:shd w:val="clear" w:color="auto" w:fill="auto"/>
        <w:bidi w:val="0"/>
        <w:jc w:val="left"/>
        <w:spacing w:before="0" w:after="84" w:line="240" w:lineRule="exact"/>
        <w:ind w:left="4500" w:right="0" w:firstLine="0"/>
      </w:pPr>
      <w:r>
        <w:rPr>
          <w:lang w:val="ru-RU" w:eastAsia="ru-RU" w:bidi="ru-RU"/>
          <w:sz w:val="24"/>
          <w:szCs w:val="24"/>
          <w:w w:val="100"/>
          <w:spacing w:val="0"/>
          <w:color w:val="000000"/>
          <w:position w:val="0"/>
        </w:rPr>
        <w:t>РЕШИЛА:</w:t>
      </w:r>
    </w:p>
    <w:p>
      <w:pPr>
        <w:pStyle w:val="Style9"/>
        <w:widowControl w:val="0"/>
        <w:keepNext w:val="0"/>
        <w:keepLines w:val="0"/>
        <w:shd w:val="clear" w:color="auto" w:fill="auto"/>
        <w:bidi w:val="0"/>
        <w:jc w:val="both"/>
        <w:spacing w:before="0" w:after="0" w:line="298" w:lineRule="exact"/>
        <w:ind w:left="20" w:right="0" w:firstLine="600"/>
      </w:pPr>
      <w:r>
        <w:rPr>
          <w:lang w:val="ru-RU" w:eastAsia="ru-RU" w:bidi="ru-RU"/>
          <w:sz w:val="24"/>
          <w:szCs w:val="24"/>
          <w:w w:val="100"/>
          <w:spacing w:val="0"/>
          <w:color w:val="000000"/>
          <w:position w:val="0"/>
        </w:rPr>
        <w:t>Признать жалобу ООО «Мегастрой» необоснованной.</w:t>
      </w:r>
    </w:p>
    <w:p>
      <w:pPr>
        <w:pStyle w:val="Style9"/>
        <w:widowControl w:val="0"/>
        <w:keepNext w:val="0"/>
        <w:keepLines w:val="0"/>
        <w:shd w:val="clear" w:color="auto" w:fill="auto"/>
        <w:bidi w:val="0"/>
        <w:jc w:val="both"/>
        <w:spacing w:before="0" w:after="0" w:line="298" w:lineRule="exact"/>
        <w:ind w:left="20" w:right="20" w:firstLine="600"/>
        <w:sectPr>
          <w:type w:val="continuous"/>
          <w:pgSz w:w="11906" w:h="16838"/>
          <w:pgMar w:top="1097" w:left="1050" w:right="1050" w:bottom="1502" w:header="0" w:footer="3" w:gutter="191"/>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2" w:after="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30" w:wrap="around" w:vAnchor="text" w:hAnchor="margin" w:x="7413" w:y="458"/>
        <w:widowControl w:val="0"/>
        <w:keepNext w:val="0"/>
        <w:keepLines w:val="0"/>
        <w:shd w:val="clear" w:color="auto" w:fill="auto"/>
        <w:bidi w:val="0"/>
        <w:jc w:val="left"/>
        <w:spacing w:before="0" w:after="0" w:line="230" w:lineRule="exact"/>
        <w:ind w:left="100" w:right="0" w:firstLine="0"/>
      </w:pPr>
      <w:r>
        <w:rPr>
          <w:rStyle w:val="CharStyle19"/>
          <w:spacing w:val="0"/>
        </w:rPr>
        <w:t>Р.Х. Блягоз</w:t>
      </w:r>
    </w:p>
    <w:p>
      <w:pPr>
        <w:pStyle w:val="Style9"/>
        <w:widowControl w:val="0"/>
        <w:keepNext w:val="0"/>
        <w:keepLines w:val="0"/>
        <w:shd w:val="clear" w:color="auto" w:fill="auto"/>
        <w:bidi w:val="0"/>
        <w:jc w:val="left"/>
        <w:spacing w:before="0" w:after="0" w:line="456" w:lineRule="exact"/>
        <w:ind w:left="0" w:right="36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2478" w:left="1150" w:right="7682" w:bottom="25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5">
    <w:name w:val="Основной текст (3) Exact"/>
    <w:basedOn w:val="CharStyle12"/>
    <w:rPr>
      <w:sz w:val="14"/>
      <w:szCs w:val="14"/>
      <w:spacing w:val="2"/>
    </w:rPr>
  </w:style>
  <w:style w:type="character" w:customStyle="1" w:styleId="CharStyle7">
    <w:name w:val="Основной текст (2)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sz w:val="24"/>
      <w:szCs w:val="24"/>
      <w:w w:val="100"/>
      <w:spacing w:val="0"/>
      <w:color w:val="000000"/>
      <w:position w:val="0"/>
    </w:rPr>
  </w:style>
  <w:style w:type="character" w:customStyle="1" w:styleId="CharStyle12">
    <w:name w:val="Основной текст (3)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Заголовок №2_"/>
    <w:basedOn w:val="DefaultParagraphFont"/>
    <w:link w:val="Style14"/>
    <w:rPr>
      <w:lang w:val="en-US" w:eastAsia="en-US" w:bidi="en-US"/>
      <w:b w:val="0"/>
      <w:bCs w:val="0"/>
      <w:i/>
      <w:iCs/>
      <w:u w:val="none"/>
      <w:strike w:val="0"/>
      <w:smallCaps w:val="0"/>
      <w:sz w:val="32"/>
      <w:szCs w:val="32"/>
      <w:rFonts w:ascii="Times New Roman" w:eastAsia="Times New Roman" w:hAnsi="Times New Roman" w:cs="Times New Roman"/>
      <w:spacing w:val="-30"/>
    </w:rPr>
  </w:style>
  <w:style w:type="character" w:customStyle="1" w:styleId="CharStyle16">
    <w:name w:val="Заголовок №2"/>
    <w:basedOn w:val="CharStyle15"/>
    <w:rPr>
      <w:w w:val="100"/>
      <w:color w:val="000000"/>
      <w:position w:val="0"/>
    </w:rPr>
  </w:style>
  <w:style w:type="character" w:customStyle="1" w:styleId="CharStyle17">
    <w:name w:val="Заголовок №2 + Не курсив,Интервал 0 pt"/>
    <w:basedOn w:val="CharStyle15"/>
    <w:rPr>
      <w:i/>
      <w:iCs/>
      <w:w w:val="100"/>
      <w:spacing w:val="0"/>
      <w:color w:val="000000"/>
      <w:position w:val="0"/>
    </w:rPr>
  </w:style>
  <w:style w:type="character" w:customStyle="1" w:styleId="CharStyle18">
    <w:name w:val="Заголовок №2 + Не курсив,Интервал 0 pt"/>
    <w:basedOn w:val="CharStyle15"/>
    <w:rPr>
      <w:lang w:val="ru-RU" w:eastAsia="ru-RU" w:bidi="ru-RU"/>
      <w:i/>
      <w:iCs/>
      <w:w w:val="100"/>
      <w:spacing w:val="0"/>
      <w:color w:val="000000"/>
      <w:position w:val="0"/>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6"/>
    </w:rPr>
  </w:style>
  <w:style w:type="character" w:customStyle="1" w:styleId="CharStyle21">
    <w:name w:val="Заголовок №1_"/>
    <w:basedOn w:val="DefaultParagraphFont"/>
    <w:link w:val="Style20"/>
    <w:rPr>
      <w:b/>
      <w:bCs/>
      <w:i w:val="0"/>
      <w:iCs w:val="0"/>
      <w:u w:val="none"/>
      <w:strike w:val="0"/>
      <w:smallCaps w:val="0"/>
      <w:sz w:val="34"/>
      <w:szCs w:val="34"/>
      <w:rFonts w:ascii="Times New Roman" w:eastAsia="Times New Roman" w:hAnsi="Times New Roman" w:cs="Times New Roman"/>
      <w:w w:val="80"/>
      <w:spacing w:val="70"/>
    </w:rPr>
  </w:style>
  <w:style w:type="character" w:customStyle="1" w:styleId="CharStyle22">
    <w:name w:val="Основной текст + Полужирный"/>
    <w:basedOn w:val="CharStyle10"/>
    <w:rPr>
      <w:lang w:val="ru-RU" w:eastAsia="ru-RU" w:bidi="ru-RU"/>
      <w:b/>
      <w:bCs/>
      <w:sz w:val="24"/>
      <w:szCs w:val="24"/>
      <w:w w:val="100"/>
      <w:spacing w:val="0"/>
      <w:color w:val="000000"/>
      <w:position w:val="0"/>
    </w:rPr>
  </w:style>
  <w:style w:type="paragraph" w:customStyle="1" w:styleId="Style3">
    <w:name w:val="Основной текст (3)"/>
    <w:basedOn w:val="Normal"/>
    <w:link w:val="CharStyle12"/>
    <w:pPr>
      <w:widowControl w:val="0"/>
      <w:shd w:val="clear" w:color="auto" w:fill="FFFFFF"/>
      <w:jc w:val="center"/>
      <w:spacing w:before="120" w:after="420"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48"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after="120" w:line="275"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outlineLvl w:val="1"/>
      <w:spacing w:before="420" w:after="300" w:line="0" w:lineRule="exact"/>
    </w:pPr>
    <w:rPr>
      <w:lang w:val="en-US" w:eastAsia="en-US" w:bidi="en-US"/>
      <w:b w:val="0"/>
      <w:bCs w:val="0"/>
      <w:i/>
      <w:iCs/>
      <w:u w:val="none"/>
      <w:strike w:val="0"/>
      <w:smallCaps w:val="0"/>
      <w:sz w:val="32"/>
      <w:szCs w:val="32"/>
      <w:rFonts w:ascii="Times New Roman" w:eastAsia="Times New Roman" w:hAnsi="Times New Roman" w:cs="Times New Roman"/>
      <w:spacing w:val="-30"/>
    </w:rPr>
  </w:style>
  <w:style w:type="paragraph" w:customStyle="1" w:styleId="Style20">
    <w:name w:val="Заголовок №1"/>
    <w:basedOn w:val="Normal"/>
    <w:link w:val="CharStyle21"/>
    <w:pPr>
      <w:widowControl w:val="0"/>
      <w:shd w:val="clear" w:color="auto" w:fill="FFFFFF"/>
      <w:outlineLvl w:val="0"/>
      <w:spacing w:before="300" w:line="0" w:lineRule="exact"/>
    </w:pPr>
    <w:rPr>
      <w:b/>
      <w:bCs/>
      <w:i w:val="0"/>
      <w:iCs w:val="0"/>
      <w:u w:val="none"/>
      <w:strike w:val="0"/>
      <w:smallCaps w:val="0"/>
      <w:sz w:val="34"/>
      <w:szCs w:val="34"/>
      <w:rFonts w:ascii="Times New Roman" w:eastAsia="Times New Roman" w:hAnsi="Times New Roman" w:cs="Times New Roman"/>
      <w:w w:val="80"/>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