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9"/>
        <w:ind w:left="0" w:right="2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5" w:line="274" w:lineRule="exact"/>
        <w:ind w:left="0" w:right="20" w:firstLine="0"/>
      </w:pPr>
      <w:r>
        <w:rPr>
          <w:rStyle w:val="CharStyle5"/>
          <w:b/>
          <w:bCs/>
        </w:rPr>
        <w:t>УПРАВЛЕНИЕ Федеральной антимонопольной службы но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6"/>
        <w:ind w:left="0" w:right="20" w:firstLine="0"/>
      </w:pPr>
      <w:r>
        <w:rPr>
          <w:rStyle w:val="CharStyle8"/>
        </w:rPr>
        <w:t xml:space="preserve">ул. Московская, л. 55, г. Казань. 420021 тел.: (843)236-89-22. факс (843) 238-19-46 </w:t>
      </w:r>
      <w:r>
        <w:rPr>
          <w:rStyle w:val="CharStyle8"/>
          <w:lang w:val="en-US" w:eastAsia="en-US" w:bidi="en-US"/>
        </w:rPr>
        <w:t xml:space="preserve">e-mail: lo </w:t>
      </w:r>
      <w:r>
        <w:fldChar w:fldCharType="begin"/>
      </w:r>
      <w:r>
        <w:rPr>
          <w:rStyle w:val="CharStyle8"/>
        </w:rPr>
        <w:instrText> HYPERLINK "mailto:16@fas.gov.ni" </w:instrText>
      </w:r>
      <w:r>
        <w:fldChar w:fldCharType="separate"/>
      </w:r>
      <w:r>
        <w:rPr>
          <w:rStyle w:val="Hyperlink"/>
        </w:rPr>
        <w:t>1</w:t>
      </w:r>
      <w:r>
        <w:rPr>
          <w:rStyle w:val="Hyperlink"/>
          <w:lang w:val="en-US" w:eastAsia="en-US" w:bidi="en-US"/>
        </w:rPr>
        <w:t>6@fas.gov.ni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227" w:line="560" w:lineRule="exact"/>
        <w:ind w:left="200" w:right="0" w:firstLine="0"/>
      </w:pPr>
      <w:bookmarkStart w:id="0" w:name="bookmark0"/>
      <w:r>
        <w:rPr>
          <w:rStyle w:val="CharStyle11"/>
          <w:b/>
          <w:bCs/>
        </w:rPr>
        <w:t xml:space="preserve">уУ. </w:t>
      </w:r>
      <w:r>
        <w:rPr>
          <w:rStyle w:val="CharStyle12"/>
          <w:lang w:val="ru-RU" w:eastAsia="ru-RU" w:bidi="ru-RU"/>
          <w:b/>
          <w:bCs/>
        </w:rPr>
        <w:t xml:space="preserve">О </w:t>
      </w:r>
      <w:r>
        <w:rPr>
          <w:rStyle w:val="CharStyle12"/>
          <w:b/>
          <w:bCs/>
        </w:rPr>
        <w:t>A.</w:t>
      </w:r>
      <w:r>
        <w:rPr>
          <w:rStyle w:val="CharStyle13"/>
          <w:b/>
          <w:bCs/>
        </w:rPr>
        <w:t xml:space="preserve"> </w:t>
      </w:r>
      <w:r>
        <w:rPr>
          <w:rStyle w:val="CharStyle14"/>
          <w:b w:val="0"/>
          <w:bCs w:val="0"/>
        </w:rPr>
        <w:t>(AfiJJ</w:t>
      </w:r>
      <w:r>
        <w:rPr>
          <w:rStyle w:val="CharStyle15"/>
          <w:b w:val="0"/>
          <w:bCs w:val="0"/>
        </w:rPr>
        <w:t xml:space="preserve"> </w:t>
      </w:r>
      <w:r>
        <w:rPr>
          <w:rStyle w:val="CharStyle16"/>
          <w:b/>
          <w:bCs/>
        </w:rPr>
        <w:t xml:space="preserve">№_ </w:t>
      </w:r>
      <w:r>
        <w:rPr>
          <w:rStyle w:val="CharStyle17"/>
          <w:b w:val="0"/>
          <w:bCs w:val="0"/>
        </w:rPr>
        <w:t>М-онШ</w:t>
      </w:r>
      <w:bookmarkEnd w:id="0"/>
    </w:p>
    <w:p>
      <w:pPr>
        <w:pStyle w:val="Style18"/>
        <w:tabs>
          <w:tab w:leader="none" w:pos="1889" w:val="left"/>
          <w:tab w:leader="underscore" w:pos="4024" w:val="lef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20"/>
        </w:rPr>
        <w:t>На№ '</w:t>
        <w:tab/>
        <w:t xml:space="preserve">от </w:t>
        <w:tab/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66" w:line="260" w:lineRule="exact"/>
        <w:ind w:left="0" w:right="20" w:firstLine="0"/>
      </w:pPr>
      <w:bookmarkStart w:id="1" w:name="bookmark1"/>
      <w:r>
        <w:rPr>
          <w:rStyle w:val="CharStyle23"/>
          <w:b/>
          <w:bCs/>
        </w:rPr>
        <w:t xml:space="preserve">монополияге </w:t>
      </w:r>
      <w:r>
        <w:rPr>
          <w:rStyle w:val="CharStyle24"/>
          <w:b/>
          <w:bCs/>
        </w:rPr>
        <w:t>каршы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1" w:line="210" w:lineRule="exact"/>
        <w:ind w:left="0" w:right="20" w:firstLine="0"/>
      </w:pPr>
      <w:r>
        <w:rPr>
          <w:rStyle w:val="CharStyle5"/>
          <w:b/>
          <w:bCs/>
        </w:rPr>
        <w:t>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 w:line="281" w:lineRule="exact"/>
        <w:ind w:left="0" w:right="20" w:firstLine="0"/>
      </w:pPr>
      <w:r>
        <w:rPr>
          <w:rStyle w:val="CharStyle5"/>
          <w:b/>
          <w:bCs/>
        </w:rPr>
        <w:t>Монополиягэ каршы Федераль хезмэтнец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925" w:line="202" w:lineRule="exact"/>
        <w:ind w:left="0" w:right="20" w:firstLine="0"/>
      </w:pPr>
      <w:r>
        <w:rPr>
          <w:rStyle w:val="CharStyle8"/>
        </w:rPr>
        <w:t xml:space="preserve">Москоу у р., 55 йорт. Казан </w:t>
      </w:r>
      <w:r>
        <w:rPr>
          <w:rStyle w:val="CharStyle8"/>
          <w:lang w:val="en-US" w:eastAsia="en-US" w:bidi="en-US"/>
        </w:rPr>
        <w:t xml:space="preserve">iuohopc. </w:t>
      </w:r>
      <w:r>
        <w:rPr>
          <w:rStyle w:val="CharStyle8"/>
        </w:rPr>
        <w:t xml:space="preserve">420021 тел.: (843) 236-89-22, факс (843) 238-19-46 </w:t>
      </w:r>
      <w:r>
        <w:rPr>
          <w:rStyle w:val="CharStyle8"/>
          <w:lang w:val="en-US" w:eastAsia="en-US" w:bidi="en-US"/>
        </w:rPr>
        <w:t>e-mail: lol6@ las.gov.ru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" w:left="990" w:right="860" w:bottom="1557" w:header="0" w:footer="3" w:gutter="0"/>
          <w:rtlGutter w:val="0"/>
          <w:cols w:num="2" w:space="142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ГУ «Отделение Пенсионного фонда Российской Федерации по Республике Татарстан» </w:t>
      </w:r>
      <w:r>
        <w:rPr>
          <w:rStyle w:val="CharStyle27"/>
        </w:rPr>
        <w:t>tatarstan@0</w:t>
      </w:r>
      <w:r>
        <w:rPr>
          <w:rStyle w:val="CharStyle27"/>
          <w:lang w:val="ru-RU" w:eastAsia="ru-RU" w:bidi="ru-RU"/>
        </w:rPr>
        <w:t xml:space="preserve">13 </w:t>
      </w:r>
      <w:r>
        <w:rPr>
          <w:rStyle w:val="CharStyle27"/>
        </w:rPr>
        <w:t>.pfr.ru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27"/>
        </w:rPr>
        <w:instrText> HYPERLINK "mailto:Bagiroval@013.pfr.ru" </w:instrText>
      </w:r>
      <w:r>
        <w:fldChar w:fldCharType="separate"/>
      </w:r>
      <w:r>
        <w:rPr>
          <w:rStyle w:val="Hyperlink"/>
        </w:rPr>
        <w:t>Bagiroval@013.pfr.ru</w:t>
      </w:r>
      <w:r>
        <w:fldChar w:fldCharType="end"/>
      </w: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Заявителю: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5700" w:right="2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«Пелен» </w:t>
      </w:r>
      <w:r>
        <w:rPr>
          <w:rStyle w:val="CharStyle27"/>
        </w:rPr>
        <w:t xml:space="preserve">pelen </w:t>
      </w:r>
      <w:r>
        <w:fldChar w:fldCharType="begin"/>
      </w:r>
      <w:r>
        <w:rPr>
          <w:rStyle w:val="CharStyle27"/>
        </w:rPr>
        <w:instrText> HYPERLINK "mailto:73@mail.ru" </w:instrText>
      </w:r>
      <w:r>
        <w:fldChar w:fldCharType="separate"/>
      </w:r>
      <w:r>
        <w:rPr>
          <w:rStyle w:val="Hyperlink"/>
        </w:rPr>
        <w:t>73@mail.ru</w:t>
      </w:r>
      <w:r>
        <w:fldChar w:fldCharType="end"/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34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№016/06/64-184/2021 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Style25"/>
        <w:tabs>
          <w:tab w:leader="none" w:pos="9200" w:val="center"/>
          <w:tab w:leader="none" w:pos="101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года</w:t>
        <w:tab/>
        <w:t>г.</w:t>
        <w:tab/>
        <w:t>Казань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5"/>
        <w:tabs>
          <w:tab w:leader="none" w:pos="5791" w:val="center"/>
          <w:tab w:leader="none" w:pos="10137" w:val="right"/>
          <w:tab w:leader="none" w:pos="101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  <w:tab/>
        <w:t>Яфизова</w:t>
        <w:tab/>
        <w:t>А.А.</w:t>
        <w:tab/>
        <w:t>- заместителя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руководителя,</w:t>
      </w:r>
    </w:p>
    <w:p>
      <w:pPr>
        <w:pStyle w:val="Style25"/>
        <w:tabs>
          <w:tab w:leader="none" w:pos="5791" w:val="center"/>
          <w:tab w:leader="none" w:pos="7524" w:val="right"/>
          <w:tab w:leader="none" w:pos="1013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Кучеевой</w:t>
        <w:tab/>
        <w:t>А.С.</w:t>
        <w:tab/>
        <w:t>— старшего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5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инспектора,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0" w:firstLine="52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Акперовой Л.А. - ведущего специалиста-эксперта, в отсутствии представителей заказчика ГУ «Отделение Пенсионного фонда Российской Федерации по Республике Татарстан», заявителя ООО «Пелен», о времени и месте рассмотрения жалобы уведомленных надлежащим образом, рассмотрев жалобу заявителя ООО «Пелен» (вх. №1316/ж от 03.02.2021г.) на действия заказчика ГУ «Отделение Пенсионного фонда Российской Федерации по Республике Татарстан» при проведении закупки №0211100000221000003 на предмет: «Оказание услуг профессиональной дезинфекции помещений в рамках борьбы с коронавирусной инфекцией для нужд Отделения ПФР по РТ и его территориальных органов»,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center"/>
        <w:spacing w:before="0" w:after="306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электронного аукциона №0311100016920000144 размещено на официальном сайте Российской Федерации </w:t>
      </w:r>
      <w:r>
        <w:rPr>
          <w:rStyle w:val="CharStyle27"/>
        </w:rPr>
        <w:t>vyww.zakupki.gov.ru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26.01.2021г.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- 1 596 900,00 руб.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Суть жалобы, по мнению заявителя, в действиях заказчика при проведении электронного аукциона содержатся нарушения норм действующего законодательства, а именно заказчиком установлены короткие сроки выполнения работ.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с доводами, изложенными в жалобе не согласился, представил устные и письменные пояснения, а также документы по закупке, которые приобщены к материалам дела.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Татарстанского УФАС России по результатам рассмотрения доводов заявителя на действия заказчика, позиции заказчика, изучения аукционной документации приходит к следующим выводам.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статье 6 Закона о контрактной системе,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8 Закона о контрактной системе,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статьи 42 Закона о контрактной системе в извещении об осуществлении закупки должна содержаться, если иное не предусмотрено настоящим Федеральным законом, следующая информация, а именно 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1 статьи 64 Закона о контрактной системе установлено, что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 Техническим заданием на оказание услуг профессиональной дезинфекции помещений в рамках борьбы с коронавирусной инфекцией для нужд Отделения ПФР по РТ и его территориальных органов заказчиком установлены адреса, площадь обрабатываемых помещений, а также график оказания услуг.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35" w:line="32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Адреса и площадь обрабатываемых помещений:</w:t>
      </w:r>
    </w:p>
    <w:tbl>
      <w:tblPr>
        <w:tblOverlap w:val="never"/>
        <w:tblLayout w:type="fixed"/>
        <w:jc w:val="center"/>
      </w:tblPr>
      <w:tblGrid>
        <w:gridCol w:w="572"/>
        <w:gridCol w:w="4262"/>
        <w:gridCol w:w="3550"/>
        <w:gridCol w:w="1566"/>
      </w:tblGrid>
      <w:tr>
        <w:trPr>
          <w:trHeight w:val="8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30"/>
              </w:rPr>
              <w:t>Наименование территориального органа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Адрес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0"/>
              </w:rPr>
              <w:t>Площадь</w:t>
            </w:r>
          </w:p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0"/>
              </w:rPr>
              <w:t>помещений,</w:t>
            </w:r>
          </w:p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74" w:lineRule="exact"/>
              <w:ind w:left="0" w:right="0" w:firstLine="0"/>
            </w:pPr>
            <w:r>
              <w:rPr>
                <w:rStyle w:val="CharStyle30"/>
              </w:rPr>
              <w:t>кв.м.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ГУ-ОПФР по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г.Казань, ул.Пушкина, д.8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7442</w:t>
            </w:r>
          </w:p>
        </w:tc>
      </w:tr>
      <w:tr>
        <w:trPr>
          <w:trHeight w:val="56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7" w:lineRule="exact"/>
              <w:ind w:left="120" w:right="0" w:firstLine="0"/>
            </w:pPr>
            <w:r>
              <w:rPr>
                <w:rStyle w:val="CharStyle30"/>
              </w:rPr>
              <w:t>ГУ-УГ1ФР в Вахитовском районе г.Казани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г.Казань, ул.Пушкина, д.8а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2271,1</w:t>
            </w:r>
          </w:p>
        </w:tc>
      </w:tr>
      <w:tr>
        <w:trPr>
          <w:trHeight w:val="5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ГУ-УПФР в Московском районе г.Казани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г.Казань, ул.Блюхера, д.81а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1569,3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30"/>
              </w:rPr>
              <w:t>ГУ-УПФР в Приволжском районе г.Казани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г.Казань, ул.Парина, д. 16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2139,5</w:t>
            </w:r>
          </w:p>
        </w:tc>
      </w:tr>
      <w:tr>
        <w:trPr>
          <w:trHeight w:val="5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ГУ-УПФР в Кировском районе г.Казани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РТ, г.Казань, ул.Шоссейная, д.22а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1533,9</w:t>
            </w:r>
          </w:p>
        </w:tc>
      </w:tr>
      <w:tr>
        <w:trPr>
          <w:trHeight w:val="292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6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ГУ-УПФР в Советском районе г. Казани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 Казань, ул. Правды, д. 12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602,3</w:t>
            </w:r>
          </w:p>
        </w:tc>
      </w:tr>
      <w:tr>
        <w:trPr>
          <w:trHeight w:val="547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3" w:lineRule="exact"/>
              <w:ind w:left="120" w:right="0" w:firstLine="0"/>
            </w:pPr>
            <w:r>
              <w:rPr>
                <w:rStyle w:val="CharStyle30"/>
              </w:rPr>
              <w:t>РТ, г. Казань ул. Гвардейская, д. 63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739,1</w:t>
            </w:r>
          </w:p>
        </w:tc>
      </w:tr>
      <w:tr>
        <w:trPr>
          <w:trHeight w:val="56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ГУ-УПФР в Ново-Савиновском районе г. Казани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 Казань ул. Ямашева, д. 79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1254,6</w:t>
            </w:r>
          </w:p>
        </w:tc>
      </w:tr>
      <w:tr>
        <w:trPr>
          <w:trHeight w:val="292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8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30"/>
              </w:rPr>
              <w:t>ГУ-УПФР в Авиастроительном районе г. Казани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 г. Казань ул. Лукина д.З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1023,8</w:t>
            </w:r>
          </w:p>
        </w:tc>
      </w:tr>
      <w:tr>
        <w:trPr>
          <w:trHeight w:val="277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 г. Казань ул. Некрасова 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2129,5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ГУ УПФР в Высокогорском районе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20" w:right="0" w:firstLine="0"/>
            </w:pPr>
            <w:r>
              <w:rPr>
                <w:rStyle w:val="CharStyle30"/>
              </w:rPr>
              <w:t>РТ, с.Высокая</w:t>
            </w:r>
          </w:p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20" w:right="0" w:firstLine="0"/>
            </w:pPr>
            <w:r>
              <w:rPr>
                <w:rStyle w:val="CharStyle30"/>
              </w:rPr>
              <w:t>Гора,ул.Центральная, д.7А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849,4</w:t>
            </w:r>
          </w:p>
        </w:tc>
      </w:tr>
      <w:tr>
        <w:trPr>
          <w:trHeight w:val="8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30"/>
              </w:rPr>
              <w:t>Управление ПФР по г.Зеленодольску, Зеленодольскому и Верхнеуслонскому районам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30"/>
              </w:rPr>
              <w:t>РТ, г.Зеленодольск , ул.К.Маркса, д.86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1974,4</w:t>
            </w:r>
          </w:p>
        </w:tc>
      </w:tr>
      <w:tr>
        <w:trPr>
          <w:trHeight w:val="5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11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Управление ПФР в Сабинском районе РТ (межрайонное)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7" w:lineRule="exact"/>
              <w:ind w:left="120" w:right="0" w:firstLine="0"/>
            </w:pPr>
            <w:r>
              <w:rPr>
                <w:rStyle w:val="CharStyle30"/>
              </w:rPr>
              <w:t>РТ, п.г.т.Богатые Сабы, ул.Школьная,д.54а.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1197,3</w:t>
            </w:r>
          </w:p>
        </w:tc>
      </w:tr>
      <w:tr>
        <w:trPr>
          <w:trHeight w:val="30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30"/>
              </w:rPr>
              <w:t>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Управление ПФР в г.Буинске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РТ, г.Буинск ул. Ефремова,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1608,1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569"/>
        <w:gridCol w:w="4266"/>
        <w:gridCol w:w="3550"/>
        <w:gridCol w:w="1566"/>
      </w:tblGrid>
      <w:tr>
        <w:trPr>
          <w:trHeight w:val="29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5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(межрайонное)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0"/>
              </w:rPr>
              <w:t>д. 1356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50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0" w:right="0" w:firstLine="0"/>
            </w:pPr>
            <w:r>
              <w:rPr>
                <w:rStyle w:val="CharStyle31"/>
              </w:rPr>
              <w:t>13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0" w:lineRule="exact"/>
              <w:ind w:left="120" w:right="0" w:firstLine="0"/>
            </w:pPr>
            <w:r>
              <w:rPr>
                <w:rStyle w:val="CharStyle30"/>
              </w:rPr>
              <w:t>Управление ПФР в Бугульминском районе иг.Бугульма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10" w:lineRule="exact"/>
              <w:ind w:left="120" w:right="0" w:firstLine="0"/>
            </w:pPr>
            <w:r>
              <w:rPr>
                <w:rStyle w:val="CharStyle30"/>
              </w:rPr>
              <w:t xml:space="preserve">РТ, г.Бугульма ул.Воровского. </w:t>
            </w:r>
            <w:r>
              <w:rPr>
                <w:rStyle w:val="CharStyle31"/>
              </w:rPr>
              <w:t>Д.43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1"/>
              </w:rPr>
              <w:t>1688,2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00" w:right="0" w:firstLine="0"/>
            </w:pPr>
            <w:r>
              <w:rPr>
                <w:rStyle w:val="CharStyle30"/>
              </w:rPr>
              <w:t>14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7" w:lineRule="exact"/>
              <w:ind w:left="120" w:right="0" w:firstLine="0"/>
            </w:pPr>
            <w:r>
              <w:rPr>
                <w:rStyle w:val="CharStyle30"/>
              </w:rPr>
              <w:t>Управление ПФР в Азнакаевском районе и г.Азнакаево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1" w:lineRule="exact"/>
              <w:ind w:left="120" w:right="0" w:firstLine="0"/>
            </w:pPr>
            <w:r>
              <w:rPr>
                <w:rStyle w:val="CharStyle30"/>
              </w:rPr>
              <w:t xml:space="preserve">РТ, г.Азнакаево ул Строителей, </w:t>
            </w:r>
            <w:r>
              <w:rPr>
                <w:rStyle w:val="CharStyle31"/>
              </w:rPr>
              <w:t>Д.10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1"/>
              </w:rPr>
              <w:t>1446,6</w:t>
            </w:r>
          </w:p>
        </w:tc>
      </w:tr>
      <w:tr>
        <w:trPr>
          <w:trHeight w:val="5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00" w:right="0" w:firstLine="0"/>
            </w:pPr>
            <w:r>
              <w:rPr>
                <w:rStyle w:val="CharStyle30"/>
              </w:rPr>
              <w:t>15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>Управление ПФР в г.Альметьевск РТ (межрайонное)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30"/>
              </w:rPr>
              <w:t xml:space="preserve">РТ, г.Альметьевск ул. Гагарина, </w:t>
            </w:r>
            <w:r>
              <w:rPr>
                <w:rStyle w:val="CharStyle31"/>
              </w:rPr>
              <w:t>Д.7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1205,9</w:t>
            </w:r>
          </w:p>
        </w:tc>
      </w:tr>
      <w:tr>
        <w:trPr>
          <w:trHeight w:val="57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0" w:right="0" w:firstLine="0"/>
            </w:pPr>
            <w:r>
              <w:rPr>
                <w:rStyle w:val="CharStyle31"/>
              </w:rPr>
              <w:t>16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4" w:lineRule="exact"/>
              <w:ind w:left="120" w:right="0" w:firstLine="0"/>
            </w:pPr>
            <w:r>
              <w:rPr>
                <w:rStyle w:val="CharStyle30"/>
              </w:rPr>
              <w:t>Управление ПФР в Нижнекамском районе и г.Нижнекамске РТ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1" w:lineRule="exact"/>
              <w:ind w:left="120" w:right="0" w:firstLine="0"/>
            </w:pPr>
            <w:r>
              <w:rPr>
                <w:rStyle w:val="CharStyle30"/>
              </w:rPr>
              <w:t xml:space="preserve">РТ, г. Нижнекамск, пр. Мира, </w:t>
            </w:r>
            <w:r>
              <w:rPr>
                <w:rStyle w:val="CharStyle31"/>
              </w:rPr>
              <w:t>Д.60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2935,7</w:t>
            </w:r>
          </w:p>
        </w:tc>
      </w:tr>
      <w:tr>
        <w:trPr>
          <w:trHeight w:val="580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200" w:right="0" w:firstLine="0"/>
            </w:pPr>
            <w:r>
              <w:rPr>
                <w:rStyle w:val="CharStyle31"/>
              </w:rPr>
              <w:t>17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7" w:lineRule="exact"/>
              <w:ind w:left="120" w:right="0" w:firstLine="0"/>
            </w:pPr>
            <w:r>
              <w:rPr>
                <w:rStyle w:val="CharStyle30"/>
              </w:rPr>
              <w:t>Управление ПФР в г.Набережные Челны (межрайонное)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1" w:lineRule="exact"/>
              <w:ind w:left="120" w:right="0" w:firstLine="0"/>
            </w:pPr>
            <w:r>
              <w:rPr>
                <w:rStyle w:val="CharStyle30"/>
              </w:rPr>
              <w:t>РТ, г. Набережные Челны, Пр. Мира, д. 24Е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4578,9</w:t>
            </w:r>
          </w:p>
        </w:tc>
      </w:tr>
      <w:tr>
        <w:trPr>
          <w:trHeight w:val="55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9950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7" w:lineRule="exact"/>
              <w:ind w:left="120" w:right="0" w:firstLine="0"/>
            </w:pPr>
            <w:r>
              <w:rPr>
                <w:rStyle w:val="CharStyle30"/>
              </w:rPr>
              <w:t>РТ, г. Набережные Челны, пр. Набережночелнинский, д. 47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1732,9</w:t>
            </w:r>
          </w:p>
        </w:tc>
      </w:tr>
      <w:tr>
        <w:trPr>
          <w:trHeight w:val="299" w:hRule="exact"/>
        </w:trPr>
        <w:tc>
          <w:tcPr>
            <w:shd w:val="clear" w:color="auto" w:fill="FFFFFF"/>
            <w:gridSpan w:val="3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32"/>
              </w:rPr>
              <w:t>Общая площадь обрабатываемых помещений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5"/>
              <w:framePr w:w="995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20" w:lineRule="exact"/>
              <w:ind w:left="0" w:right="180" w:firstLine="0"/>
            </w:pPr>
            <w:r>
              <w:rPr>
                <w:rStyle w:val="CharStyle32"/>
              </w:rPr>
              <w:t>39 922,5</w:t>
            </w:r>
          </w:p>
        </w:tc>
      </w:tr>
    </w:tbl>
    <w:p>
      <w:pPr>
        <w:widowControl w:val="0"/>
        <w:spacing w:line="300" w:lineRule="exact"/>
        <w:rPr>
          <w:sz w:val="24"/>
          <w:szCs w:val="24"/>
        </w:rPr>
      </w:pPr>
    </w:p>
    <w:p>
      <w:pPr>
        <w:pStyle w:val="Style33"/>
        <w:framePr w:w="982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 График оказания услуг:</w:t>
      </w:r>
    </w:p>
    <w:tbl>
      <w:tblPr>
        <w:tblOverlap w:val="never"/>
        <w:tblLayout w:type="fixed"/>
        <w:jc w:val="center"/>
      </w:tblPr>
      <w:tblGrid>
        <w:gridCol w:w="1674"/>
        <w:gridCol w:w="3557"/>
        <w:gridCol w:w="4597"/>
      </w:tblGrid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№ обработки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Дата проведения дезинфекции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2"/>
              </w:rPr>
              <w:t>Время проведения дезинфекции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05.03.2021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 17ч.00мин до 18ч.00мин</w:t>
            </w:r>
          </w:p>
        </w:tc>
      </w:tr>
      <w:tr>
        <w:trPr>
          <w:trHeight w:val="2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12.03.2021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 17ч.00мин до 18ч.00мин</w:t>
            </w:r>
          </w:p>
        </w:tc>
      </w:tr>
      <w:tr>
        <w:trPr>
          <w:trHeight w:val="2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19.03.2021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 17ч.00мин до 18ч.00мин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26.03.2021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 17ч.00мин до 18ч.00мин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31.03.2021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982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30"/>
              </w:rPr>
              <w:t>с 18ч.00мин до 19ч.00мин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246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заявителя, заказчиком установлены слишком маленькие сроки выполнения работ, которые невозможно выполнить организации имеющей ограниченное количество оборудования для дезинфекции, и в штате которой имеется малое количество сотрудников.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Татарстанского У ФАС России приходит к выводу, что Закон о контрактной системе не содержит положений, ограничивающих заказчиков к определению сроков выполнения услуг (работ), поставке товаров или к графику выполнения работ.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4 статьи 3 Закона о контрактной системе участником закупки может быть любое юридическое лицо независимо от его организационно-правовой формы.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статьей 706 Гражданского кодекса Российской Федерации установлено, что,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Аукционной документацией не ограничивается право участников закупки привлекать неограниченное количество субподрядных организаций для выполнения работ в указанные сроки.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Отсутствие у лиц, заинтересованных в заключении контракта, возможности оказать услуги в срок,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протоколу рассмотрения заявок на участие в электронном аукционе от 03.02.2021 №0211100000221000003-1 на участие в закупке было подано 7 заявок от участников, которые выразили свое согласие на оказание услуг профессиональной дезинфекции помещений в рамках борьбы с коронавирусной инфекцией для нужд Отделения ПФР по РТ и его территориальных органов согласно установленному заказчиком графику.</w:t>
      </w:r>
    </w:p>
    <w:p>
      <w:pPr>
        <w:pStyle w:val="Style25"/>
        <w:tabs>
          <w:tab w:leader="none" w:pos="17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от 08.02.2021г.</w:t>
        <w:tab/>
        <w:t>№0211100000221000003-3 победителем закупки признана ИП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Плотникова Т.Г. с предложением о цене контракта 766 744, 00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снижение цены по результатам проведенного аукциона составило 48% от начальной (максимальной) цены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заявитель на заседание Комиссии Татарстанского У ФАС России не явился, доказательств, подтверждающих обоснованность своих доводов не представил.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вышеизложенные обстоятельства, довод заявителя признан необоснованным.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351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306" w:line="260" w:lineRule="exact"/>
        <w:ind w:left="4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заявителя ООО «Пелен» (вх. №1316/ж от 03.02.2021г.) на действия заказчика ГУ «Отделение Пенсионного фонда Российской Федерации по Республике Татарстан» при проведении закупки №0211100000221000003 на предмет: «Оказание услуг профессиональной дезинфекции помещений в рамках борьбы с коронавирусной инфекцией для нужд Отделения ПФР по РТ и его территориальных органов» необоснованной.</w:t>
      </w:r>
    </w:p>
    <w:p>
      <w:pPr>
        <w:pStyle w:val="Style25"/>
        <w:tabs>
          <w:tab w:leader="none" w:pos="7882" w:val="right"/>
          <w:tab w:leader="none" w:pos="87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может быть обжаловано в судебном пррядке в течение трех месяцев со дня его принятия.</w:t>
        <w:tab/>
      </w:r>
      <w:r>
        <w:rPr>
          <w:rStyle w:val="CharStyle35"/>
        </w:rPr>
        <w:t>/</w:t>
        <w:tab/>
        <w:t>\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871" w:line="634" w:lineRule="exact"/>
        <w:ind w:left="20" w:right="10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 Члены Комиссии: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Кучеева Алина Сергеевна, Тел. (843) 238-24-86</w:t>
      </w:r>
    </w:p>
    <w:sectPr>
      <w:type w:val="continuous"/>
      <w:pgSz w:w="11906" w:h="16838"/>
      <w:pgMar w:top="707" w:left="676" w:right="676" w:bottom="1600" w:header="0" w:footer="3" w:gutter="33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10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Заголовок №1 + 17 pt,Курсив,Интервал 2 pt"/>
    <w:basedOn w:val="CharStyle10"/>
    <w:rPr>
      <w:lang w:val="en-US" w:eastAsia="en-US" w:bidi="en-US"/>
      <w:i/>
      <w:iCs/>
      <w:u w:val="single"/>
      <w:sz w:val="34"/>
      <w:szCs w:val="34"/>
      <w:w w:val="100"/>
      <w:spacing w:val="40"/>
      <w:color w:val="000000"/>
      <w:position w:val="0"/>
    </w:rPr>
  </w:style>
  <w:style w:type="character" w:customStyle="1" w:styleId="CharStyle13">
    <w:name w:val="Заголовок №1 + 17 pt,Курсив,Интервал 2 pt"/>
    <w:basedOn w:val="CharStyle10"/>
    <w:rPr>
      <w:lang w:val="en-US" w:eastAsia="en-US" w:bidi="en-US"/>
      <w:i/>
      <w:iCs/>
      <w:sz w:val="34"/>
      <w:szCs w:val="34"/>
      <w:w w:val="100"/>
      <w:spacing w:val="40"/>
      <w:color w:val="000000"/>
      <w:position w:val="0"/>
    </w:rPr>
  </w:style>
  <w:style w:type="character" w:customStyle="1" w:styleId="CharStyle14">
    <w:name w:val="Заголовок №1 + 18 pt,Не полужирный,Курсив,Интервал 1 pt"/>
    <w:basedOn w:val="CharStyle10"/>
    <w:rPr>
      <w:lang w:val="en-US" w:eastAsia="en-US" w:bidi="en-US"/>
      <w:b/>
      <w:bCs/>
      <w:i/>
      <w:iCs/>
      <w:sz w:val="36"/>
      <w:szCs w:val="36"/>
      <w:w w:val="100"/>
      <w:spacing w:val="30"/>
      <w:color w:val="000000"/>
      <w:position w:val="0"/>
    </w:rPr>
  </w:style>
  <w:style w:type="character" w:customStyle="1" w:styleId="CharStyle15">
    <w:name w:val="Заголовок №1 + 18 pt,Не полужирный,Интервал 0 pt"/>
    <w:basedOn w:val="CharStyle10"/>
    <w:rPr>
      <w:lang w:val="ru-RU" w:eastAsia="ru-RU" w:bidi="ru-RU"/>
      <w:b/>
      <w:bCs/>
      <w:sz w:val="36"/>
      <w:szCs w:val="36"/>
      <w:w w:val="100"/>
      <w:spacing w:val="0"/>
      <w:color w:val="000000"/>
      <w:position w:val="0"/>
    </w:rPr>
  </w:style>
  <w:style w:type="character" w:customStyle="1" w:styleId="CharStyle16">
    <w:name w:val="Заголовок №1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Заголовок №1 + 28 pt,Не полужирный,Курсив,Интервал 0 pt"/>
    <w:basedOn w:val="CharStyle10"/>
    <w:rPr>
      <w:lang w:val="ru-RU" w:eastAsia="ru-RU" w:bidi="ru-RU"/>
      <w:b/>
      <w:bCs/>
      <w:i/>
      <w:iCs/>
      <w:u w:val="single"/>
      <w:sz w:val="56"/>
      <w:szCs w:val="56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character" w:customStyle="1" w:styleId="CharStyle20">
    <w:name w:val="Основной текст (4)"/>
    <w:basedOn w:val="CharStyle19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Заголовок №2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ahoma" w:eastAsia="Tahoma" w:hAnsi="Tahoma" w:cs="Tahoma"/>
    </w:rPr>
  </w:style>
  <w:style w:type="character" w:customStyle="1" w:styleId="CharStyle23">
    <w:name w:val="Заголовок №2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2 + Times New Roman,10,5 pt,Интервал 1 pt"/>
    <w:basedOn w:val="CharStyle22"/>
    <w:rPr>
      <w:lang w:val="ru-RU" w:eastAsia="ru-RU" w:bidi="ru-RU"/>
      <w:sz w:val="21"/>
      <w:szCs w:val="21"/>
      <w:rFonts w:ascii="Times New Roman" w:eastAsia="Times New Roman" w:hAnsi="Times New Roman" w:cs="Times New Roman"/>
      <w:w w:val="100"/>
      <w:spacing w:val="20"/>
      <w:color w:val="000000"/>
      <w:position w:val="0"/>
    </w:rPr>
  </w:style>
  <w:style w:type="character" w:customStyle="1" w:styleId="CharStyle26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"/>
    <w:basedOn w:val="CharStyle2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(5)_"/>
    <w:basedOn w:val="DefaultParagraphFont"/>
    <w:link w:val="Style2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+ 11 pt"/>
    <w:basedOn w:val="CharStyle2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1">
    <w:name w:val="Основной текст + 10 pt"/>
    <w:basedOn w:val="CharStyle2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32">
    <w:name w:val="Основной текст + 11 pt,Полужирный"/>
    <w:basedOn w:val="CharStyle26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34">
    <w:name w:val="Подпись к таблице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5">
    <w:name w:val="Основной текст + 14 pt,Курсив"/>
    <w:basedOn w:val="CharStyle26"/>
    <w:rPr>
      <w:lang w:val="ru-RU" w:eastAsia="ru-RU" w:bidi="ru-RU"/>
      <w:i/>
      <w:iCs/>
      <w:sz w:val="28"/>
      <w:szCs w:val="28"/>
      <w:w w:val="100"/>
      <w:spacing w:val="0"/>
      <w:color w:val="000000"/>
      <w:position w:val="0"/>
    </w:rPr>
  </w:style>
  <w:style w:type="character" w:customStyle="1" w:styleId="CharStyle37">
    <w:name w:val="Основной текст (6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84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360" w:line="205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10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0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FFFFFF"/>
      <w:jc w:val="center"/>
      <w:outlineLvl w:val="1"/>
      <w:spacing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ahoma" w:eastAsia="Tahoma" w:hAnsi="Tahoma" w:cs="Tahoma"/>
    </w:rPr>
  </w:style>
  <w:style w:type="paragraph" w:customStyle="1" w:styleId="Style25">
    <w:name w:val="Основной текст"/>
    <w:basedOn w:val="Normal"/>
    <w:link w:val="CharStyle26"/>
    <w:pPr>
      <w:widowControl w:val="0"/>
      <w:shd w:val="clear" w:color="auto" w:fill="FFFFFF"/>
      <w:spacing w:before="1020"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FFFFFF"/>
      <w:jc w:val="center"/>
      <w:spacing w:before="300" w:after="30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3">
    <w:name w:val="Подпись к таблице"/>
    <w:basedOn w:val="Normal"/>
    <w:link w:val="CharStyle3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FFFFFF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