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jc w:val="left"/>
        <w:spacing w:before="0" w:after="248"/>
        <w:ind w:left="5320" w:right="1400" w:firstLine="0"/>
      </w:pPr>
      <w:r>
        <w:rPr>
          <w:lang w:val="ru-RU" w:eastAsia="ru-RU" w:bidi="ru-RU"/>
          <w:w w:val="100"/>
          <w:spacing w:val="0"/>
          <w:color w:val="000000"/>
          <w:position w:val="0"/>
        </w:rPr>
        <w:t xml:space="preserve"> Администрация поселения Воскресенское</w:t>
      </w:r>
    </w:p>
    <w:p>
      <w:pPr>
        <w:pStyle w:val="Style5"/>
        <w:widowControl w:val="0"/>
        <w:keepNext w:val="0"/>
        <w:keepLines w:val="0"/>
        <w:shd w:val="clear" w:color="auto" w:fill="auto"/>
        <w:bidi w:val="0"/>
        <w:jc w:val="left"/>
        <w:spacing w:before="0" w:after="286" w:line="317" w:lineRule="exact"/>
        <w:ind w:left="5320" w:right="500" w:firstLine="0"/>
      </w:pPr>
      <w:r>
        <w:rPr>
          <w:lang w:val="ru-RU" w:eastAsia="ru-RU" w:bidi="ru-RU"/>
          <w:w w:val="100"/>
          <w:spacing w:val="0"/>
          <w:color w:val="000000"/>
          <w:position w:val="0"/>
        </w:rPr>
        <w:t xml:space="preserve">пос. Воскресенское, д. 28А, поселение Воскресенское, г. Москва, 142791, </w:t>
      </w:r>
      <w:r>
        <w:fldChar w:fldCharType="begin"/>
      </w:r>
      <w:r>
        <w:rPr>
          <w:color w:val="000000"/>
        </w:rPr>
        <w:instrText> HYPERLINK "mailto:voskrmz@mail.ru" </w:instrText>
      </w:r>
      <w:r>
        <w:fldChar w:fldCharType="separate"/>
      </w:r>
      <w:r>
        <w:rPr>
          <w:rStyle w:val="Hyperlink"/>
          <w:lang w:val="en-US" w:eastAsia="en-US" w:bidi="en-US"/>
          <w:w w:val="100"/>
          <w:spacing w:val="0"/>
          <w:position w:val="0"/>
        </w:rPr>
        <w:t>voskrmz@mail.ru</w:t>
      </w:r>
      <w:r>
        <w:fldChar w:fldCharType="end"/>
      </w:r>
    </w:p>
    <w:p>
      <w:pPr>
        <w:pStyle w:val="Style5"/>
        <w:numPr>
          <w:ilvl w:val="0"/>
          <w:numId w:val="1"/>
        </w:numPr>
        <w:widowControl w:val="0"/>
        <w:keepNext w:val="0"/>
        <w:keepLines w:val="0"/>
        <w:shd w:val="clear" w:color="auto" w:fill="auto"/>
        <w:bidi w:val="0"/>
        <w:jc w:val="left"/>
        <w:spacing w:before="0" w:after="308" w:line="260" w:lineRule="exact"/>
        <w:ind w:left="5320" w:right="0" w:firstLine="0"/>
      </w:pPr>
      <w:r>
        <w:rPr>
          <w:lang w:val="ru-RU" w:eastAsia="ru-RU" w:bidi="ru-RU"/>
          <w:w w:val="100"/>
          <w:spacing w:val="0"/>
          <w:color w:val="000000"/>
          <w:position w:val="0"/>
        </w:rPr>
        <w:t xml:space="preserve"> ООО «Проспект-НТМ»</w:t>
      </w:r>
    </w:p>
    <w:p>
      <w:pPr>
        <w:pStyle w:val="Style5"/>
        <w:widowControl w:val="0"/>
        <w:keepNext w:val="0"/>
        <w:keepLines w:val="0"/>
        <w:shd w:val="clear" w:color="auto" w:fill="auto"/>
        <w:bidi w:val="0"/>
        <w:jc w:val="left"/>
        <w:spacing w:before="0" w:after="1620" w:line="322" w:lineRule="exact"/>
        <w:ind w:left="5320" w:right="180" w:firstLine="0"/>
      </w:pPr>
      <w:r>
        <w:rPr>
          <w:lang w:val="ru-RU" w:eastAsia="ru-RU" w:bidi="ru-RU"/>
          <w:w w:val="100"/>
          <w:spacing w:val="0"/>
          <w:color w:val="000000"/>
          <w:position w:val="0"/>
        </w:rPr>
        <w:t xml:space="preserve">ул. Старая Басманная, д. 7, стр. 2, оф. 3, г. Москва, 105064, </w:t>
      </w:r>
      <w:r>
        <w:fldChar w:fldCharType="begin"/>
      </w:r>
      <w:r>
        <w:rPr>
          <w:color w:val="000000"/>
        </w:rPr>
        <w:instrText> HYPERLINK "mailto:tender.spec@prospekt-ntm.ru" </w:instrText>
      </w:r>
      <w:r>
        <w:fldChar w:fldCharType="separate"/>
      </w:r>
      <w:r>
        <w:rPr>
          <w:rStyle w:val="Hyperlink"/>
          <w:lang w:val="en-US" w:eastAsia="en-US" w:bidi="en-US"/>
          <w:w w:val="100"/>
          <w:spacing w:val="0"/>
          <w:position w:val="0"/>
        </w:rPr>
        <w:t>tender.spec@prospekt-ntm.ru</w:t>
      </w:r>
      <w:r>
        <w:fldChar w:fldCharType="end"/>
      </w:r>
    </w:p>
    <w:p>
      <w:pPr>
        <w:pStyle w:val="Style8"/>
        <w:tabs>
          <w:tab w:leader="none" w:pos="8473" w:val="center"/>
          <w:tab w:leader="none" w:pos="8685" w:val="left"/>
        </w:tabs>
        <w:widowControl w:val="0"/>
        <w:keepNext w:val="0"/>
        <w:keepLines w:val="0"/>
        <w:shd w:val="clear" w:color="auto" w:fill="auto"/>
        <w:bidi w:val="0"/>
        <w:jc w:val="left"/>
        <w:spacing w:before="0" w:after="0"/>
        <w:ind w:left="20" w:right="660" w:firstLine="4360"/>
      </w:pPr>
      <w:r>
        <w:rPr>
          <w:lang w:val="ru-RU" w:eastAsia="ru-RU" w:bidi="ru-RU"/>
          <w:w w:val="100"/>
          <w:spacing w:val="0"/>
          <w:color w:val="000000"/>
          <w:position w:val="0"/>
        </w:rPr>
        <w:t>РЕШЕНИЕ по делу №077/06/106-1962/2021 о нарушении законодательства о контрактной системе 09.02.2021</w:t>
        <w:tab/>
        <w:t>г.</w:t>
        <w:tab/>
      </w:r>
      <w:r>
        <w:rPr>
          <w:rStyle w:val="CharStyle10"/>
          <w:b/>
          <w:bCs/>
        </w:rPr>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Председателя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Члена Комиссии — специалиста 1 разряда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при участии представителей Администрации поселения Воскресенское, ООО «Проспект-НТМ»,</w:t>
      </w:r>
    </w:p>
    <w:p>
      <w:pPr>
        <w:pStyle w:val="Style3"/>
        <w:framePr w:w="1349" w:h="427" w:wrap="around" w:vAnchor="text" w:hAnchor="margin" w:x="351" w:y="180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001395677733</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рассмотрев жалобу ООО «Проспект-НТМ» (далее - Заявитель) на действия Администрации поселения Воскресенское (далее — Заказчик) при проведении открытого конкурса в электронной форме на право заключения государственного контракта на выполнение работ по текущему ремонту дорог поселения Воскресенское в 2021 году (Закупка № 0148300008220000021) (далее - открытый</w:t>
      </w:r>
      <w:r>
        <w:br w:type="page"/>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конкурс в электронной форме, конкурс) в соответствии с Федеральным законом от</w:t>
      </w:r>
    </w:p>
    <w:p>
      <w:pPr>
        <w:pStyle w:val="Style5"/>
        <w:numPr>
          <w:ilvl w:val="0"/>
          <w:numId w:val="3"/>
        </w:numPr>
        <w:tabs>
          <w:tab w:leader="none" w:pos="1389" w:val="left"/>
        </w:tabs>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1"/>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Заказчиком предоставлены документы и сведения, запрашиваемые письмом Московского УФАС России №ЕИ/6045/21 от 04.02.2021.</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Заявитель обжалует действия конкурсной комиссии Заказчика в части применения порядка оценки, установленного в конкурсной документации по показателю «Опыт участника по успешному выполнению работ сопоставимого характера и объема» нестоимостного критерия оценки заявок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tabs>
          <w:tab w:leader="none" w:pos="2566" w:val="left"/>
          <w:tab w:leader="none" w:pos="3209" w:val="left"/>
        </w:tabs>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Согласно п.8</w:t>
        <w:tab/>
        <w:t>ч.1</w:t>
        <w:tab/>
        <w:t>ст.54.3 Закона о контрактной системе конкурсная</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 соответствии с п.11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 показателей критерия оценки должна составлять 100 процентов.</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5"/>
        <w:numPr>
          <w:ilvl w:val="0"/>
          <w:numId w:val="5"/>
        </w:numPr>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5"/>
        <w:numPr>
          <w:ilvl w:val="0"/>
          <w:numId w:val="5"/>
        </w:numPr>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5"/>
        <w:numPr>
          <w:ilvl w:val="0"/>
          <w:numId w:val="5"/>
        </w:numPr>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Соблюдение вышеуказанных положений в совокупности позволит обеспечить применение предусмотренной п.11 Правил 100-балльной шкалы по критерию (обеспечивается возможность присвоить лучшему предложению по критерию оценку в 100 баллов).</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В силу ч.6 ст.54.7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п.3 и п.4 ч.1 ст.32 Закона о контрактной системе критериями оценки этих заявок, окончательных предложений.</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Таким образом, предмет жалобы о присвоении результатов оценки по нестомостному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Вместе с тем Комиссией Управления проводится проверка действий конкурсной комиссии Заказчика в части применения установленного в конкурсной документации порядка оценки заявок на участие в открытом конкурсе.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Комиссией Управления установлено, что в отношении показателя «Опыт участника по успешному выполнению работ сопоставимого характера и объема» нестоимостного критерия оценки заявок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 следующий порядок оценки:</w:t>
      </w:r>
    </w:p>
    <w:p>
      <w:pPr>
        <w:pStyle w:val="Style5"/>
        <w:widowControl w:val="0"/>
        <w:keepNext w:val="0"/>
        <w:keepLines w:val="0"/>
        <w:shd w:val="clear" w:color="auto" w:fill="auto"/>
        <w:bidi w:val="0"/>
        <w:jc w:val="both"/>
        <w:spacing w:before="0" w:after="0" w:line="322" w:lineRule="exact"/>
        <w:ind w:left="0" w:right="0" w:firstLine="520"/>
      </w:pPr>
      <w:r>
        <w:rPr>
          <w:lang w:val="ru-RU" w:eastAsia="ru-RU" w:bidi="ru-RU"/>
          <w:w w:val="100"/>
          <w:spacing w:val="0"/>
          <w:color w:val="000000"/>
          <w:position w:val="0"/>
        </w:rPr>
        <w:t>«Значимость критерия: 40%.</w:t>
      </w:r>
    </w:p>
    <w:p>
      <w:pPr>
        <w:pStyle w:val="Style5"/>
        <w:widowControl w:val="0"/>
        <w:keepNext w:val="0"/>
        <w:keepLines w:val="0"/>
        <w:shd w:val="clear" w:color="auto" w:fill="auto"/>
        <w:bidi w:val="0"/>
        <w:jc w:val="both"/>
        <w:spacing w:before="0" w:after="0" w:line="322" w:lineRule="exact"/>
        <w:ind w:left="0" w:right="0" w:firstLine="520"/>
      </w:pPr>
      <w:r>
        <w:rPr>
          <w:lang w:val="ru-RU" w:eastAsia="ru-RU" w:bidi="ru-RU"/>
          <w:w w:val="100"/>
          <w:spacing w:val="0"/>
          <w:color w:val="000000"/>
          <w:position w:val="0"/>
        </w:rPr>
        <w:t>Коэффициент значимости критерия: 0,40.</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Показателем, раскрывающим содержание критерия оценки установлен показатель «Опыт участника по успешному выполнению работ сопоставимого характера и объема».</w:t>
      </w:r>
    </w:p>
    <w:p>
      <w:pPr>
        <w:pStyle w:val="Style5"/>
        <w:widowControl w:val="0"/>
        <w:keepNext w:val="0"/>
        <w:keepLines w:val="0"/>
        <w:shd w:val="clear" w:color="auto" w:fill="auto"/>
        <w:bidi w:val="0"/>
        <w:jc w:val="both"/>
        <w:spacing w:before="0" w:after="0" w:line="322" w:lineRule="exact"/>
        <w:ind w:left="0" w:right="0" w:firstLine="520"/>
      </w:pPr>
      <w:r>
        <w:rPr>
          <w:lang w:val="ru-RU" w:eastAsia="ru-RU" w:bidi="ru-RU"/>
          <w:w w:val="100"/>
          <w:spacing w:val="0"/>
          <w:color w:val="000000"/>
          <w:position w:val="0"/>
        </w:rPr>
        <w:t>Значимость показателя: 100%</w:t>
      </w:r>
    </w:p>
    <w:p>
      <w:pPr>
        <w:pStyle w:val="Style5"/>
        <w:widowControl w:val="0"/>
        <w:keepNext w:val="0"/>
        <w:keepLines w:val="0"/>
        <w:shd w:val="clear" w:color="auto" w:fill="auto"/>
        <w:bidi w:val="0"/>
        <w:jc w:val="both"/>
        <w:spacing w:before="0" w:after="0" w:line="322" w:lineRule="exact"/>
        <w:ind w:left="0" w:right="0" w:firstLine="520"/>
      </w:pPr>
      <w:r>
        <w:rPr>
          <w:lang w:val="ru-RU" w:eastAsia="ru-RU" w:bidi="ru-RU"/>
          <w:w w:val="100"/>
          <w:spacing w:val="0"/>
          <w:color w:val="000000"/>
          <w:position w:val="0"/>
        </w:rPr>
        <w:t>Коэффициент значимости показателя: 1.</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Заказчиком будет оцениваться суммарный объем выполненных работ сопоставимого характера и объема, исчисляемый в рубляхпо успешно исполненным участником контрактов в соответствии с Федеральным законом от</w:t>
      </w:r>
    </w:p>
    <w:p>
      <w:pPr>
        <w:pStyle w:val="Style5"/>
        <w:numPr>
          <w:ilvl w:val="0"/>
          <w:numId w:val="7"/>
        </w:numPr>
        <w:tabs>
          <w:tab w:leader="none" w:pos="1406"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г. № 44-ФЗ «О контрактной системе в сфере закупок товаров, работ, услуг для обеспечения государственных и муниципальных нужд» и Федеральным законом от 18.07.2011 г. № 223-ФЗ «О закупках товаров, работ, услуг отдельными видами юридических лиц»,за последние два года, предшествующий дате окончания срока подачи заявок на участие в настоящем открытом конкурсе в электронной форме (далее - конкурсе).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Под работами сопоставимого характера понимаются работы по текущему ремонту дорог.</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Под работами сопоставимого объема понимаются работы по исполненному контракту/договору, стоимость которого составляет не менее 50% от начальной (максимальной) цены контракта, на право заключить который проводится закупка.</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Соответствие сопоставимому объему применяется к каждому исполненному участником закупки контракту, а не к совокупности представленных исполненных контрактов.</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Опыт участника по выполнению работ сопоставимого характера и объема (по каждому исполненному контракту/договору) подтверждается следующими документами:</w:t>
      </w:r>
    </w:p>
    <w:p>
      <w:pPr>
        <w:pStyle w:val="Style5"/>
        <w:numPr>
          <w:ilvl w:val="0"/>
          <w:numId w:val="9"/>
        </w:numPr>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Копия (копии) ранее полностью (по суммам актов) исполненного (исполненных) контракта (ов), по успешному выполнению работ;</w:t>
      </w:r>
    </w:p>
    <w:p>
      <w:pPr>
        <w:pStyle w:val="Style5"/>
        <w:numPr>
          <w:ilvl w:val="0"/>
          <w:numId w:val="9"/>
        </w:numPr>
        <w:widowControl w:val="0"/>
        <w:keepNext w:val="0"/>
        <w:keepLines w:val="0"/>
        <w:shd w:val="clear" w:color="auto" w:fill="auto"/>
        <w:bidi w:val="0"/>
        <w:jc w:val="both"/>
        <w:spacing w:before="0" w:after="0" w:line="322" w:lineRule="exact"/>
        <w:ind w:left="0" w:right="0" w:firstLine="520"/>
      </w:pPr>
      <w:r>
        <w:rPr>
          <w:lang w:val="ru-RU" w:eastAsia="ru-RU" w:bidi="ru-RU"/>
          <w:w w:val="100"/>
          <w:spacing w:val="0"/>
          <w:color w:val="000000"/>
          <w:position w:val="0"/>
        </w:rPr>
        <w:t>Копия акта(ов) приемки работ подтверждающего(их) приемку работ по</w:t>
      </w:r>
    </w:p>
    <w:p>
      <w:pPr>
        <w:pStyle w:val="Style5"/>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исполнению контракта в полном объеме;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 в том числе дополнительными соглашениями(в том числе приложения к дополнительным соглашениям, являющиеся их неотъемлемой частью).</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В случае, если у заказчика при рассмотрении предоставленных участником конкурса копий документов, подтверждающих квалификацию, возникают затруднения с отнесением актов приемки работ, заказчик не учитывает такие документы при оценке. Затруднением считается случай, когда невозможно сопоставить документы, подтверждающие опыт участника, и сверить информацию, содержащуюся в данных документах, по причине нечитаемого текста на таких документах.</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Датой исполнения контракта считается дата акта приемки работ или итогового акта приемки работ, подтверждающего приемку работ по исполнению контракта в полном объеме.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Представленные участником закупки контракты, исполнение которых не подтверждено документально, не учитываются при оценке.</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Представленные документы должны быть в виде полночитаемых копий, на которых видны необходимые сведения, в том числе даты, подписи, печати. Предложение участника в отношении представленных сведений, не соответствующих указанным требованиям, к оценке не принимается.</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Оцениваются представленные участником закупки контракты, которые подтверждены документально и указаны в заявке на участие в конкурсе в составе вторых частей заявки на участие в конкурсе (Рекомендованная Форма 1. Предложение о квалификации участника закупки).</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По успешному выполнению работ участник закупки декларирует в заявке на участие в конкурсе(Рекомендованная Форма 1. Предложение о квалификации участника закупки) исполнение им контрактов, представленных по показателю критерия оценки, без применения к нему неустоек (штрафов, пеней), а также исполнение контракта в полном объеме и в соответствии с условиями (в том числе условия по сроку выполнения работ, объему выполнения работ (по предмету, видам работ и стоимости выполненных работ в рублях), предусмотренными таким контрактом.</w:t>
      </w:r>
    </w:p>
    <w:p>
      <w:pPr>
        <w:pStyle w:val="Style5"/>
        <w:widowControl w:val="0"/>
        <w:keepNext w:val="0"/>
        <w:keepLines w:val="0"/>
        <w:shd w:val="clear" w:color="auto" w:fill="auto"/>
        <w:bidi w:val="0"/>
        <w:jc w:val="both"/>
        <w:spacing w:before="0" w:after="0" w:line="322" w:lineRule="exact"/>
        <w:ind w:left="0" w:right="20" w:firstLine="520"/>
      </w:pPr>
      <w:r>
        <w:rPr>
          <w:lang w:val="ru-RU" w:eastAsia="ru-RU" w:bidi="ru-RU"/>
          <w:w w:val="100"/>
          <w:spacing w:val="0"/>
          <w:color w:val="000000"/>
          <w:position w:val="0"/>
        </w:rPr>
        <w:t>Заказчик вправе запросить у соответствующих органов и организаций информацию об успешном выполнении работ по исполнению участником закупки контракта без применения к такому участнику неустоек (штрафов, пеней), а также исполнение контракта в полном объеме и в соответствии с условиями (в том числе условия по сроку выполнения работ, объему выполнения работ (по предмету, видам работ и стоимости выполненных работ в рублях), предусмотренными таким контрактом.</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Соответствие сопоставимому объему применяется к каждому исполненному участником закупки контракту, а не к совокупности представленных исполненных контрактов.</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Оценка заявок по указанному показателю осуществляется в соответствии с п. 23 Правил:</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Количество баллов, присуждаемых по критерию оценки (показателю) (</w:t>
      </w:r>
      <w:r>
        <w:rPr>
          <w:rStyle w:val="CharStyle13"/>
        </w:rPr>
        <w:t>НЦБ</w:t>
      </w:r>
      <w:r>
        <w:rPr>
          <w:rStyle w:val="CharStyle14"/>
        </w:rPr>
        <w:t>1</w:t>
      </w:r>
      <w:r>
        <w:rPr>
          <w:lang w:val="ru-RU" w:eastAsia="ru-RU" w:bidi="ru-RU"/>
          <w:w w:val="100"/>
          <w:spacing w:val="0"/>
          <w:color w:val="000000"/>
          <w:position w:val="0"/>
        </w:rPr>
        <w:t>), определяется по формуле:</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НЦБ</w:t>
      </w:r>
      <w:r>
        <w:rPr>
          <w:rStyle w:val="CharStyle14"/>
        </w:rPr>
        <w:t>1</w:t>
      </w:r>
      <w:r>
        <w:rPr>
          <w:lang w:val="ru-RU" w:eastAsia="ru-RU" w:bidi="ru-RU"/>
          <w:w w:val="100"/>
          <w:spacing w:val="0"/>
          <w:color w:val="000000"/>
          <w:position w:val="0"/>
        </w:rPr>
        <w:t xml:space="preserve"> = КЗ </w:t>
      </w:r>
      <w:r>
        <w:rPr>
          <w:lang w:val="en-US" w:eastAsia="en-US" w:bidi="en-US"/>
          <w:w w:val="100"/>
          <w:spacing w:val="0"/>
          <w:color w:val="000000"/>
          <w:position w:val="0"/>
        </w:rPr>
        <w:t xml:space="preserve">x </w:t>
      </w:r>
      <w:r>
        <w:rPr>
          <w:lang w:val="ru-RU" w:eastAsia="ru-RU" w:bidi="ru-RU"/>
          <w:w w:val="100"/>
          <w:spacing w:val="0"/>
          <w:color w:val="000000"/>
          <w:position w:val="0"/>
        </w:rPr>
        <w:t xml:space="preserve">100 </w:t>
      </w:r>
      <w:r>
        <w:rPr>
          <w:lang w:val="en-US" w:eastAsia="en-US" w:bidi="en-US"/>
          <w:w w:val="100"/>
          <w:spacing w:val="0"/>
          <w:color w:val="000000"/>
          <w:position w:val="0"/>
        </w:rPr>
        <w:t xml:space="preserve">x </w:t>
      </w:r>
      <w:r>
        <w:rPr>
          <w:lang w:val="ru-RU" w:eastAsia="ru-RU" w:bidi="ru-RU"/>
          <w:w w:val="100"/>
          <w:spacing w:val="0"/>
          <w:color w:val="000000"/>
          <w:position w:val="0"/>
        </w:rPr>
        <w:t>(К / Ктах),</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где:</w:t>
      </w:r>
    </w:p>
    <w:p>
      <w:pPr>
        <w:pStyle w:val="Style5"/>
        <w:widowControl w:val="0"/>
        <w:keepNext w:val="0"/>
        <w:keepLines w:val="0"/>
        <w:shd w:val="clear" w:color="auto" w:fill="auto"/>
        <w:bidi w:val="0"/>
        <w:jc w:val="both"/>
        <w:spacing w:before="0" w:after="0" w:line="322" w:lineRule="exact"/>
        <w:ind w:left="20" w:right="0" w:firstLine="52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 - предложение участника закупки по показателю,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Ктах - максимальное предложениепо показателю, из предложений по показателю критерия оценки, сделанных участниками закупки.</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Рейтинг заявки (предложения) по критерию оценки- это оценка в баллах, полученная участником закупки по результатам оценки по критерию оценки с учетом коэффициента значимости критерия оценки.</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Итоговый рейтинг заявки (предложения) вычисляется как сумма рейтингов по каждому критерию оценки заявки (предложения).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На заседании Комиссии Управления представитель Заявителя пояснил, что конкурсной комиссией Заказчика неправомерно не учтен содержащийся в составе конкурсной заявки договор № 127/2 от 07.03.2019 на выполнение работ по восстановлению благоустройства территорий после ремонта кабельных линий: мест разрытий после аварийных ремонтов кабельных оснований и асфальтовых покрытий дорог, тротуарной плитки, резиновых покрытий, восстановление отдельных участков металлических ограждений и малых форм на сумму 343 163 973, 99 руб., что не позволило Заявителю получить наивысший балл по нестоимостным критерия оценки и стать победителем электронной процедуры.</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На заседании Комиссии Управления представитель Заказчика пояснил, что вышеуказанный договор № 127/2 от 07.03.2019 не учтен конкурсной комиссией Заказчика в частности по причине отсутствия в составе заявки дополнительного соглашения от 22.05.2020, наличие и заключение которого подтверждено сведениями из Единой информационной системы в сфере закупок. Данное обстоятельство напрямую не соответствует порядку оценки, согласно которому документы должны быть представлены в полном объеме со всеми приложениями, являющимися их неотъемлемой частью, в том числе с дополнительными соглашениями.</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Представитель Заявителя факт заключения дополнительного соглашения от 22.05.2020 по договору № 127/2 от 07.03.2019 и его отсутствие в составе заявки не отрицал. При этом представитель Заявителя указал на тот факт, что выполненные в рамках указанного договора работы по ремонту асфальтобетонного должны быть учтены конкурсной комиссией.</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На заседании Комиссии Управления представитель Заказчика пояснил, что в рамках контракта на благоустройство территории согласно закрывающим документам участником выполнялись работы по восстановлению асфальтовых покрытий на сумму 185 000 000, 00 руб., которые Заказчик не определяет сопоставимыми работам по ремонту дорожных покрытий.</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Комиссией Управления установлено, что согласно протоколу подведения итогов открытого конкурса в электронной форме от 29.01.2021 №ППИ1 победителю процедуры в лице ООО «Строительная компания Альянс» присвоено по стоимостному критерию оценки 49,89 баллов, по нестоимостному критерию оценки 40 баллов (учтены исполненные контракты на сумму 591 687 565,06 руб), заявке Заявителя по стоимостному критерию оценки присвоено 59,25 баллов, в качестве подтверждения наличия опыта конкурсной комиссией учтено 3 контракта на сумму 130 340 466,12 руб.</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 учетом возможной суммы работ по восстановлению асфальтовых покрытий в размере 185 000 000,00 руб., заявке Заявителя по нестоимостному критерию оценки могло быть присвоено 185 000 000,00 + 130 340 466,12/591 687 565,06*100*0,4 = 21,31 баллов, что в совокупности с присвоенными баллами по стоимостному критерию составляет 80,56 баллов, в то время как заявке ООО «Строительная компания Альянс» присвоено 89,89 баллов. Таким образом, предположения Заявителя о возможности присвоения наивысшего балла в рамках утвержденного порядка оценки, и, как следствие, признание Заявителя победителем электронной процедуры не нашли своего подтверждения, поскольку, очевидно, рейтинг заявки не изменяется.</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Вместе с тем на заседании Комиссии Управления представителем Заявителя не представлено документов и сведений, свидетельствующих о нарушении конкурсной комиссией Заказчика порядка оценки с учетом непредставления в</w:t>
      </w:r>
      <w:r>
        <w:br w:type="page"/>
      </w:r>
    </w:p>
    <w:p>
      <w:pPr>
        <w:pStyle w:val="Style5"/>
        <w:widowControl w:val="0"/>
        <w:keepNext w:val="0"/>
        <w:keepLines w:val="0"/>
        <w:shd w:val="clear" w:color="auto" w:fill="auto"/>
        <w:bidi w:val="0"/>
        <w:jc w:val="right"/>
        <w:spacing w:before="0" w:after="0" w:line="317" w:lineRule="exact"/>
        <w:ind w:left="20" w:right="20" w:firstLine="0"/>
      </w:pPr>
      <w:r>
        <w:rPr>
          <w:lang w:val="ru-RU" w:eastAsia="ru-RU" w:bidi="ru-RU"/>
          <w:w w:val="100"/>
          <w:spacing w:val="0"/>
          <w:color w:val="000000"/>
          <w:position w:val="0"/>
        </w:rPr>
        <w:t>составе заявки дополнительного соглашения, являющегося неотъемлемой частью договора, обязательность представления которого предусмотрена порядком оценки.</w:t>
      </w:r>
    </w:p>
    <w:p>
      <w:pPr>
        <w:pStyle w:val="Style5"/>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Таким образом, Комиссия Управления приходит к выводу о том, что данный довод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646" w:line="317" w:lineRule="exact"/>
        <w:ind w:left="20" w:right="20" w:firstLine="58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8"/>
        <w:widowControl w:val="0"/>
        <w:keepNext w:val="0"/>
        <w:keepLines w:val="0"/>
        <w:shd w:val="clear" w:color="auto" w:fill="auto"/>
        <w:bidi w:val="0"/>
        <w:jc w:val="center"/>
        <w:spacing w:before="0" w:after="299" w:line="260" w:lineRule="exact"/>
        <w:ind w:left="20" w:right="0" w:firstLine="0"/>
      </w:pPr>
      <w:r>
        <w:rPr>
          <w:lang w:val="ru-RU" w:eastAsia="ru-RU" w:bidi="ru-RU"/>
          <w:w w:val="100"/>
          <w:spacing w:val="0"/>
          <w:color w:val="000000"/>
          <w:position w:val="0"/>
        </w:rPr>
        <w:t>Р Е Ш И Л А:</w:t>
      </w:r>
    </w:p>
    <w:p>
      <w:pPr>
        <w:pStyle w:val="Style5"/>
        <w:numPr>
          <w:ilvl w:val="0"/>
          <w:numId w:val="11"/>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Признать жалобу ООО «Проспект-НТМ» на действия конкурсной комиссии Администрации поселения Воскресенское необоснованной.</w:t>
      </w:r>
    </w:p>
    <w:p>
      <w:pPr>
        <w:pStyle w:val="Style5"/>
        <w:numPr>
          <w:ilvl w:val="0"/>
          <w:numId w:val="11"/>
        </w:numPr>
        <w:widowControl w:val="0"/>
        <w:keepNext w:val="0"/>
        <w:keepLines w:val="0"/>
        <w:shd w:val="clear" w:color="auto" w:fill="auto"/>
        <w:bidi w:val="0"/>
        <w:jc w:val="both"/>
        <w:spacing w:before="0" w:after="240" w:line="322" w:lineRule="exact"/>
        <w:ind w:left="20" w:right="20" w:firstLine="5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w:t>
      </w:r>
      <w:r>
        <w:rPr>
          <w:rStyle w:val="CharStyle15"/>
        </w:rPr>
        <w:t>УФАС</w:t>
      </w:r>
      <w:r>
        <w:rPr>
          <w:lang w:val="ru-RU" w:eastAsia="ru-RU" w:bidi="ru-RU"/>
          <w:w w:val="100"/>
          <w:spacing w:val="0"/>
          <w:color w:val="000000"/>
          <w:position w:val="0"/>
        </w:rPr>
        <w:t xml:space="preserve"> России №ЕИ/6045/21 от 04.02.2021.</w:t>
      </w:r>
    </w:p>
    <w:p>
      <w:pPr>
        <w:pStyle w:val="Style5"/>
        <w:widowControl w:val="0"/>
        <w:keepNext w:val="0"/>
        <w:keepLines w:val="0"/>
        <w:shd w:val="clear" w:color="auto" w:fill="auto"/>
        <w:bidi w:val="0"/>
        <w:jc w:val="right"/>
        <w:spacing w:before="0" w:after="0" w:line="322" w:lineRule="exact"/>
        <w:ind w:left="20" w:right="20" w:firstLine="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гл. 24 АПК РФ.</w:t>
      </w:r>
    </w:p>
    <w:p>
      <w:pPr>
        <w:pStyle w:val="Style5"/>
        <w:framePr w:h="245" w:vSpace="720" w:wrap="around" w:vAnchor="text" w:hAnchor="margin" w:x="8315" w:y="1"/>
        <w:widowControl w:val="0"/>
        <w:keepNext w:val="0"/>
        <w:keepLines w:val="0"/>
        <w:shd w:val="clear" w:color="auto" w:fill="auto"/>
        <w:bidi w:val="0"/>
        <w:jc w:val="left"/>
        <w:spacing w:before="0" w:after="0" w:line="23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Председатель Комиссии</w:t>
      </w:r>
    </w:p>
    <w:p>
      <w:pPr>
        <w:pStyle w:val="Style5"/>
        <w:framePr w:h="238" w:wrap="around" w:vAnchor="text" w:hAnchor="margin" w:x="8623" w:y="1"/>
        <w:widowControl w:val="0"/>
        <w:keepNext w:val="0"/>
        <w:keepLines w:val="0"/>
        <w:shd w:val="clear" w:color="auto" w:fill="auto"/>
        <w:bidi w:val="0"/>
        <w:jc w:val="left"/>
        <w:spacing w:before="0" w:after="0" w:line="230" w:lineRule="exact"/>
        <w:ind w:left="100" w:right="0" w:firstLine="0"/>
      </w:pPr>
      <w:r>
        <w:rPr>
          <w:rStyle w:val="CharStyle6"/>
          <w:spacing w:val="0"/>
        </w:rPr>
        <w:t>К.А. Сомов</w:t>
      </w:r>
    </w:p>
    <w:p>
      <w:pPr>
        <w:pStyle w:val="Style5"/>
        <w:widowControl w:val="0"/>
        <w:keepNext w:val="0"/>
        <w:keepLines w:val="0"/>
        <w:shd w:val="clear" w:color="auto" w:fill="auto"/>
        <w:bidi w:val="0"/>
        <w:jc w:val="left"/>
        <w:spacing w:before="0" w:after="357" w:line="260" w:lineRule="exact"/>
        <w:ind w:left="180" w:right="0"/>
      </w:pPr>
      <w:r>
        <w:rPr>
          <w:lang w:val="ru-RU" w:eastAsia="ru-RU" w:bidi="ru-RU"/>
          <w:w w:val="100"/>
          <w:spacing w:val="0"/>
          <w:color w:val="000000"/>
          <w:position w:val="0"/>
        </w:rPr>
        <w:t>Заместитель председателя Комиссии</w:t>
      </w:r>
    </w:p>
    <w:p>
      <w:pPr>
        <w:pStyle w:val="Style5"/>
        <w:framePr w:h="233" w:wrap="around" w:vAnchor="text" w:hAnchor="margin" w:x="8" w:y="6"/>
        <w:widowControl w:val="0"/>
        <w:keepNext w:val="0"/>
        <w:keepLines w:val="0"/>
        <w:shd w:val="clear" w:color="auto" w:fill="auto"/>
        <w:bidi w:val="0"/>
        <w:jc w:val="left"/>
        <w:spacing w:before="0" w:after="0" w:line="23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4274" w:line="260" w:lineRule="exact"/>
        <w:ind w:left="0" w:right="20" w:firstLine="0"/>
      </w:pPr>
      <w:r>
        <w:rPr>
          <w:lang w:val="ru-RU" w:eastAsia="ru-RU" w:bidi="ru-RU"/>
          <w:w w:val="100"/>
          <w:spacing w:val="0"/>
          <w:color w:val="000000"/>
          <w:position w:val="0"/>
        </w:rPr>
        <w:t>А.А. Матюшенко</w:t>
      </w:r>
    </w:p>
    <w:p>
      <w:pPr>
        <w:pStyle w:val="Style16"/>
        <w:widowControl w:val="0"/>
        <w:keepNext w:val="0"/>
        <w:keepLines w:val="0"/>
        <w:shd w:val="clear" w:color="auto" w:fill="auto"/>
        <w:bidi w:val="0"/>
        <w:jc w:val="left"/>
        <w:spacing w:before="0" w:after="0"/>
        <w:ind w:left="180" w:right="4260"/>
      </w:pPr>
      <w:r>
        <w:rPr>
          <w:lang w:val="ru-RU" w:eastAsia="ru-RU" w:bidi="ru-RU"/>
          <w:w w:val="100"/>
          <w:spacing w:val="0"/>
          <w:color w:val="000000"/>
          <w:position w:val="0"/>
        </w:rPr>
        <w:t xml:space="preserve">Исп. Сомов К.А. 8(495)784-75-05 (077-143) </w:t>
      </w:r>
      <w:r>
        <w:rPr>
          <w:rStyle w:val="CharStyle18"/>
          <w:b w:val="0"/>
          <w:bCs w:val="0"/>
        </w:rPr>
        <w:t>2021-8117</w:t>
      </w:r>
    </w:p>
    <w:sectPr>
      <w:footnotePr>
        <w:pos w:val="pageBottom"/>
        <w:numFmt w:val="decimal"/>
        <w:numRestart w:val="continuous"/>
      </w:footnotePr>
      <w:type w:val="continuous"/>
      <w:pgSz w:w="11906" w:h="16838"/>
      <w:pgMar w:top="1319" w:left="857" w:right="834" w:bottom="12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2) + Курсив"/>
    <w:basedOn w:val="CharStyle9"/>
    <w:rPr>
      <w:lang w:val="ru-RU" w:eastAsia="ru-RU" w:bidi="ru-RU"/>
      <w:i/>
      <w:iC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7"/>
    <w:rPr>
      <w:lang w:val="ru-RU" w:eastAsia="ru-RU" w:bidi="ru-RU"/>
      <w:u w:val="single"/>
      <w:w w:val="100"/>
      <w:spacing w:val="0"/>
      <w:color w:val="000000"/>
      <w:position w:val="0"/>
    </w:rPr>
  </w:style>
  <w:style w:type="character" w:customStyle="1" w:styleId="CharStyle14">
    <w:name w:val="Основной текст + 8,5 pt"/>
    <w:basedOn w:val="CharStyle7"/>
    <w:rPr>
      <w:lang w:val="ru-RU" w:eastAsia="ru-RU" w:bidi="ru-RU"/>
      <w:sz w:val="17"/>
      <w:szCs w:val="17"/>
      <w:w w:val="100"/>
      <w:spacing w:val="0"/>
      <w:color w:val="000000"/>
      <w:position w:val="0"/>
    </w:rPr>
  </w:style>
  <w:style w:type="character" w:customStyle="1" w:styleId="CharStyle15">
    <w:name w:val="Основной текст"/>
    <w:basedOn w:val="CharStyle7"/>
    <w:rPr>
      <w:lang w:val="ru-RU" w:eastAsia="ru-RU" w:bidi="ru-RU"/>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3) + 11 pt,Не полужирный"/>
    <w:basedOn w:val="CharStyle17"/>
    <w:rPr>
      <w:lang w:val="ru-RU" w:eastAsia="ru-RU" w:bidi="ru-RU"/>
      <w:b/>
      <w:bCs/>
      <w:sz w:val="22"/>
      <w:szCs w:val="22"/>
      <w:w w:val="100"/>
      <w:spacing w:val="0"/>
      <w:color w:val="000000"/>
      <w:position w:val="0"/>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240" w:line="326"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6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spacing w:before="4920" w:line="917" w:lineRule="exact"/>
      <w:ind w:hanging="1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