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09.02.2021г. на действия заказчика - МУНИЦИПАЛЬНОЕ КАЗЕННОЕ УЧРЕЖДЕНИЕ "УПРАВЛЕНИЕ ПО РАЗВИТИЮ И РЕКОНСТРУКЦИИ АВТОМОБИЛЬНЫХ ДОРОГ" МУНИЦИПАЛЬНОГО ОБРАЗОВАНИЯ ГОРОД НОВОРОССИЙСК </w:t>
      </w:r>
      <w:r>
        <w:rPr>
          <w:rStyle w:val="CharStyle5"/>
        </w:rPr>
        <w:t xml:space="preserve">при проведении закупки: (извещение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 0118300013321000117),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6"/>
        </w:rPr>
        <w:t>должна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наименование, фирменное наименование (при наличии), </w:t>
      </w:r>
      <w:r>
        <w:rPr>
          <w:rStyle w:val="CharStyle6"/>
        </w:rPr>
        <w:t xml:space="preserve">место нахождения (для </w:t>
      </w:r>
      <w:r>
        <w:rPr>
          <w:rStyle w:val="CharStyle7"/>
        </w:rPr>
        <w:t>юрилического</w:t>
      </w:r>
      <w:r>
        <w:rPr>
          <w:rStyle w:val="CharStyle5"/>
        </w:rPr>
        <w:t xml:space="preserve"> </w:t>
      </w:r>
      <w:r>
        <w:rPr>
          <w:rStyle w:val="CharStyle6"/>
        </w:rPr>
        <w:t>лица), наименование, место нахождения общественного объединения или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объединения юридических лиц, фамилию, имя, отчество (при наличии), место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09.02.2021г.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 ч.11 ст.105 Закона о контрактной системе, жалоба ООО «ТехСтройПартнер»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815" w:left="1186" w:right="1186" w:bottom="181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+ 11,5 pt,Полужирный"/>
    <w:basedOn w:val="CharStyle4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+ 11,5 pt,Полужирный"/>
    <w:basedOn w:val="CharStyle4"/>
    <w:rPr>
      <w:lang w:val="ru-RU" w:eastAsia="ru-RU" w:bidi="ru-RU"/>
      <w:b/>
      <w:bCs/>
      <w:u w:val="single"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