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739" w:left="1285" w:right="6415" w:bottom="173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147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общества с ограниченной ответственностью «Консультант Аудит»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8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Н.В. Кущенко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type w:val="continuous"/>
          <w:pgSz w:w="11906" w:h="16838"/>
          <w:pgMar w:top="1739" w:left="1296" w:right="1768" w:bottom="1739" w:header="0" w:footer="3" w:gutter="0"/>
          <w:rtlGutter w:val="0"/>
          <w:cols w:num="2" w:space="1180"/>
          <w:noEndnote/>
          <w:docGrid w:linePitch="360"/>
        </w:sectPr>
      </w:pPr>
      <w:r>
        <w:fldChar w:fldCharType="begin"/>
      </w:r>
      <w:r>
        <w:rPr>
          <w:rStyle w:val="CharStyle11"/>
        </w:rPr>
        <w:instrText> HYPERLINK "mailto:Konsandit@mail.ru" </w:instrText>
      </w:r>
      <w:r>
        <w:fldChar w:fldCharType="separate"/>
      </w:r>
      <w:r>
        <w:rPr>
          <w:rStyle w:val="Hyperlink"/>
        </w:rPr>
        <w:t>Konsandit@mail.ru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45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Камчатскому краю по итогам предварительного рассмотрения поступившей 09.02.2021 жалобы общества с ограниченной ответственностью «Консультант Аудит» на действия заказчика - государственного унитарного предприятия Камчатского края «Спецтранс» при осуществлении закупки на оказание услуг по проведению аудита бухгалтерской (финансовой) отчетности ГУП «Спецтранс» за 2020 год (извещение № 0538300000320000008), на основании пункта 2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приняло решение о возвращении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7 статьи 105 Закона о контрактной системе участник закупки подает жалобу в письменной форме.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указанной статьи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4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 № 63-ФЗ «Об электронной цифровой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жалоба, подаваемая посредством факса, в сканированном виде или в форме документа без использования электронной подписи, не с о ответ с тв у 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нормам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  <w:sectPr>
          <w:type w:val="continuous"/>
          <w:pgSz w:w="11906" w:h="16838"/>
          <w:pgMar w:top="1250" w:left="1272" w:right="1231" w:bottom="125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 подана посредством электронной почты, не подписана квалифицированной электронной подписью, в нарушение части 7 статьи 105 Закона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0" w:wrap="around" w:vAnchor="text" w:hAnchor="margin" w:x="7765" w:y="2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2"/>
          <w:spacing w:val="0"/>
        </w:rPr>
        <w:t>Е.В. Фисенко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102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управления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Романова Валерия Николаевна </w:t>
      </w:r>
      <w:r>
        <w:rPr>
          <w:rStyle w:val="CharStyle15"/>
        </w:rPr>
        <w:t>8</w:t>
      </w:r>
      <w:r>
        <w:rPr>
          <w:rStyle w:val="CharStyle16"/>
        </w:rPr>
        <w:t xml:space="preserve"> (</w:t>
      </w:r>
      <w:r>
        <w:rPr>
          <w:rStyle w:val="CharStyle15"/>
        </w:rPr>
        <w:t>4152</w:t>
      </w:r>
      <w:r>
        <w:rPr>
          <w:rStyle w:val="CharStyle16"/>
        </w:rPr>
        <w:t xml:space="preserve">) </w:t>
      </w:r>
      <w:r>
        <w:rPr>
          <w:rStyle w:val="CharStyle17"/>
        </w:rPr>
        <w:t>42*1005</w:t>
      </w:r>
    </w:p>
    <w:sectPr>
      <w:type w:val="continuous"/>
      <w:pgSz w:w="11906" w:h="16838"/>
      <w:pgMar w:top="891" w:left="1251" w:right="6773" w:bottom="8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character" w:customStyle="1" w:styleId="CharStyle11">
    <w:name w:val="Основной текст (3)"/>
    <w:basedOn w:val="CharStyle10"/>
    <w:rPr>
      <w:u w:val="single"/>
      <w:sz w:val="24"/>
      <w:szCs w:val="24"/>
      <w:w w:val="10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5"/>
      <w:szCs w:val="15"/>
      <w:rFonts w:ascii="Corbel" w:eastAsia="Corbel" w:hAnsi="Corbel" w:cs="Corbel"/>
    </w:rPr>
  </w:style>
  <w:style w:type="character" w:customStyle="1" w:styleId="CharStyle15">
    <w:name w:val="Основной текст (4) + Times New Roman,7 pt,Интервал 1 pt"/>
    <w:basedOn w:val="CharStyle14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20"/>
      <w:color w:val="000000"/>
      <w:position w:val="0"/>
    </w:rPr>
  </w:style>
  <w:style w:type="character" w:customStyle="1" w:styleId="CharStyle16">
    <w:name w:val="Основной текст (4) + Times New Roman,5,5 pt"/>
    <w:basedOn w:val="CharStyle14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7">
    <w:name w:val="Основной текст (4) + Times New Roman,7 pt"/>
    <w:basedOn w:val="CharStyle14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240" w:line="32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before="24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0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11100" w:line="18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Corbel" w:eastAsia="Corbel" w:hAnsi="Corbel" w:cs="Corbel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