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numPr>
          <w:ilvl w:val="0"/>
          <w:numId w:val="1"/>
        </w:numPr>
        <w:tabs>
          <w:tab w:leader="none" w:pos="5664" w:val="left"/>
        </w:tabs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«ГКБ им. В.М. Буянова ДЗМ»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Бакинская, д. 26, г. Москва, 115516,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5320" w:right="0" w:firstLine="0"/>
      </w:pPr>
      <w:r>
        <w:fldChar w:fldCharType="begin"/>
      </w:r>
      <w:r>
        <w:rPr>
          <w:color w:val="000000"/>
        </w:rPr>
        <w:instrText> HYPERLINK "mailto:dogovor@gkb12mos.ru"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dogovor@gkb12mos.ru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89" w:line="322" w:lineRule="exact"/>
        <w:ind w:left="5320" w:right="0" w:firstLine="0"/>
      </w:pPr>
      <w:r>
        <w:fldChar w:fldCharType="begin"/>
      </w:r>
      <w:r>
        <w:rPr>
          <w:color w:val="000000"/>
        </w:rPr>
        <w:instrText> HYPERLINK "mailto:AntipovaYO@mos.ru"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AntipovaYO@mos.ru</w:t>
      </w:r>
      <w:r>
        <w:fldChar w:fldCharType="end"/>
      </w:r>
    </w:p>
    <w:p>
      <w:pPr>
        <w:pStyle w:val="Style3"/>
        <w:numPr>
          <w:ilvl w:val="0"/>
          <w:numId w:val="1"/>
        </w:numPr>
        <w:tabs>
          <w:tab w:leader="none" w:pos="5688" w:val="left"/>
        </w:tabs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«МАСТЕРПАК»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980" w:line="322" w:lineRule="exact"/>
        <w:ind w:left="5320" w:right="8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Ленинградское ш., 88 км, стр. 103, г. Клин, Московская обл., 141600, </w:t>
      </w:r>
      <w:r>
        <w:fldChar w:fldCharType="begin"/>
      </w:r>
      <w:r>
        <w:rPr>
          <w:color w:val="000000"/>
        </w:rPr>
        <w:instrText> HYPERLINK "mailto:masterpack.2008@gmail.com"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masterpack.2008@gmail.com</w:t>
      </w:r>
      <w:r>
        <w:fldChar w:fldCharType="end"/>
      </w:r>
    </w:p>
    <w:p>
      <w:pPr>
        <w:pStyle w:val="Style5"/>
        <w:tabs>
          <w:tab w:leader="none" w:pos="897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№077/06/106-1657/2021 о нарушении законодательства о контрактной системе 04.02.2021</w:t>
        <w:tab/>
        <w:t>г. 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Председательствующего: Заместителя председателя Комиссии — главного государственного инспектора отдела обжалования государственных закупок С.И. Казарина,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 - ведущего специалиста-эксперта отдела обжалования государственных закупок Н.А. Узкого,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«ГКБ им. В.М. Буянова ДЗМ»: М.Г. Дьяченко,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«МАСТЕРПАК»: Е.О. Павлишевой,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6" w:line="322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«МАСТЕРПАК» (далее - Заявитель) на действия ГБУЗ «ГКБ им. В.М. Буянова ДЗМ» (далее — Заказчик) при проведении электронного аукциона на право заключения государственного контракта на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001663830653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поставку расходного материала (защитный чехол для ультразвукового датчика) для нужд ГБУЗ «ГКБ имени В.М. Буянова ДЗМ» (Закупка № 0373200052721000033) (далее -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314" w:line="260" w:lineRule="exact"/>
        <w:ind w:left="434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№ЕИ/5228/21 от 01.02.2021.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3"/>
        <w:tabs>
          <w:tab w:leader="none" w:pos="10186" w:val="righ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жалобе указывает на то, что объект закупки извещения о проведении электронного аукциона от 21.01.2021</w:t>
        <w:tab/>
        <w:t>№0373200052721000033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противоречит положениям технического задания аукционной документации, в том числе по параметрам длины и толщины закупаемых изделий.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ст. 33 Закона о контрактной системе, в том числе обоснование начальной (максимальной) цены контракта.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2 ст. 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в соответствии с извещением о проведении электронного аукциона от 21.01.2021 №0373200052721000033 объектом закупки является поставка расходного материала (защитный чехол для ультразвукового датчика). Заказчиком выбран код ОКПД2 22.19.71.110: «Презервативы для УЗИ из латекса», а также в извещении указаны характеристики поставляемых мед</w:t>
      </w:r>
      <w:r>
        <w:rPr>
          <w:rStyle w:val="CharStyle11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нских изделий «диаметр 28 мм, длина не менее 190 мм, толщина не менее 0,05 мм».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согласно положениям технического задания аукционной документации Заказчиком закупаются изделия, относящиеся к коду КТРУ 26.60.12.132-00000016: «Чехол защитный для инвазивного датчика ультразвуковой визуализации, стандартный, нестерильный», к которым предъявляются, в том числе, следующие дополнительные требования: «Изделие должно быть изготовлено из натурального прозрачного латекса, с гладкой поверхностью. Изделие должно быть без накопителя. Изделие должно быть без смазки. Длина изделия не менее 189 мм и не более 192 мм, диаметр не менее 26 мм и не более 29 мм. Толщина стенки не менее 0,055 мм и не более 0,085 мм», что фактически по параметрам диаметра, длины и толщины противоречит сведениям извещения.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согласился с указанным доводом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Управления приходит к выводу об обоснованности указанных доводов жалобы и нарушении Заказчиком п.1 ч.1 ст.33, п.1 ч.1 ст.64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Комиссией Управления установлено, что положениями технического задания определены технические условия поставки расходного материала именно в виде защитного чехла для ультразвукового датчика, требования к характеристикам поставляемых медицинских изделий в полной мере отражены в технической части документации, таким образом, положения технического задания аукционной документации позволяют участникам закупки определить что Заказчиком в рамках указанной закупки закупаются защитные чехлы для ультразвукового датчика, что свидетельствует о том, что выявленные нарушения не повлияли на результаты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на заседании Комиссии Управления представитель Заказчика пояснил, что согласно протоколу рассмотрения заявок на участие в электронном аукционе от 02.02.2021 №0373200052721000033-1 участниками закупки подано 9 заявок на участие в аукционе, при этом аукционной комиссией Заказчика не принимались решения об отклонении заявок участников закупки от участия в аукционе на основании несоответствия сведений, указанных в заявках требованиям к вышеуказанным товарам.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34" w:line="302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299" w:line="260" w:lineRule="exact"/>
        <w:ind w:left="45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«МАСТЕРПАК» на действия ГБУЗ «ГКБ им. В.М. Буянова ДЗМ» обоснованной.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31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п.1 ч.1 ст.33, п.1 ч.1 ст.64 Закона о контрактной системе.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Обязательное для исполнения предписание об устранении нарушений законодательства об осуществлении закупок государственному Заказчику не выдавать, так как выявленные нарушения не повлияли на результат проведения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0" w:right="2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</w:r>
    </w:p>
    <w:p>
      <w:pPr>
        <w:pStyle w:val="Style3"/>
        <w:tabs>
          <w:tab w:leader="none" w:pos="9077" w:val="right"/>
          <w:tab w:leader="none" w:pos="10146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С.И.</w:t>
        <w:tab/>
        <w:t>Казарин</w:t>
      </w:r>
    </w:p>
    <w:p>
      <w:pPr>
        <w:pStyle w:val="Style3"/>
        <w:tabs>
          <w:tab w:leader="none" w:pos="10146" w:val="right"/>
          <w:tab w:leader="none" w:pos="10138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</w:t>
        <w:tab/>
        <w:t>Сомов</w:t>
      </w:r>
    </w:p>
    <w:p>
      <w:pPr>
        <w:pStyle w:val="Style3"/>
        <w:tabs>
          <w:tab w:leader="none" w:pos="9312" w:val="right"/>
          <w:tab w:leader="none" w:pos="10146" w:val="right"/>
        </w:tabs>
        <w:widowControl w:val="0"/>
        <w:keepNext w:val="0"/>
        <w:keepLines w:val="0"/>
        <w:shd w:val="clear" w:color="auto" w:fill="auto"/>
        <w:bidi w:val="0"/>
        <w:spacing w:before="0" w:after="1536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</w:t>
        <w:tab/>
        <w:t>Н.А.</w:t>
        <w:tab/>
        <w:t>Узкий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80" w:right="6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Сомов К.А. 8(495)784-75-05 (077-143) </w:t>
      </w:r>
      <w:r>
        <w:rPr>
          <w:rStyle w:val="CharStyle14"/>
          <w:b w:val="0"/>
          <w:bCs w:val="0"/>
        </w:rPr>
        <w:t>2021-7465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19" w:left="850" w:right="845" w:bottom="126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Штрих-код (2)_"/>
    <w:basedOn w:val="DefaultParagraphFont"/>
    <w:link w:val="Style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3) + 11 pt,Не полужирный"/>
    <w:basedOn w:val="CharStyle13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1980" w:line="322" w:lineRule="exact"/>
      <w:ind w:firstLine="436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Штрих-код (2)"/>
    <w:basedOn w:val="Normal"/>
    <w:link w:val="CharStyle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2100" w:line="1349" w:lineRule="exact"/>
      <w:ind w:hanging="180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