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numPr>
          <w:ilvl w:val="0"/>
          <w:numId w:val="1"/>
        </w:numPr>
        <w:tabs>
          <w:tab w:leader="none" w:pos="5621" w:val="left"/>
        </w:tabs>
        <w:widowControl w:val="0"/>
        <w:keepNext w:val="0"/>
        <w:keepLines w:val="0"/>
        <w:shd w:val="clear" w:color="auto" w:fill="auto"/>
        <w:bidi w:val="0"/>
        <w:spacing w:before="0" w:after="303" w:line="260" w:lineRule="exact"/>
        <w:ind w:left="5320" w:right="0" w:firstLine="0"/>
      </w:pPr>
      <w:r>
        <w:rPr>
          <w:lang w:val="ru-RU" w:eastAsia="ru-RU" w:bidi="ru-RU"/>
          <w:w w:val="100"/>
          <w:spacing w:val="0"/>
          <w:color w:val="000000"/>
          <w:position w:val="0"/>
        </w:rPr>
        <w:t>ФКУ «ЦОКР»</w:t>
      </w:r>
    </w:p>
    <w:p>
      <w:pPr>
        <w:pStyle w:val="Style3"/>
        <w:widowControl w:val="0"/>
        <w:keepNext w:val="0"/>
        <w:keepLines w:val="0"/>
        <w:shd w:val="clear" w:color="auto" w:fill="auto"/>
        <w:bidi w:val="0"/>
        <w:jc w:val="left"/>
        <w:spacing w:before="0" w:after="289" w:line="322" w:lineRule="exact"/>
        <w:ind w:left="5320" w:right="1240" w:firstLine="0"/>
      </w:pPr>
      <w:r>
        <w:rPr>
          <w:lang w:val="ru-RU" w:eastAsia="ru-RU" w:bidi="ru-RU"/>
          <w:w w:val="100"/>
          <w:spacing w:val="0"/>
          <w:color w:val="000000"/>
          <w:position w:val="0"/>
        </w:rPr>
        <w:t xml:space="preserve">Ипатьевский пер., д. 12, стр. 1, г. Москва, 103132, </w:t>
      </w:r>
      <w:r>
        <w:fldChar w:fldCharType="begin"/>
      </w:r>
      <w:r>
        <w:rPr>
          <w:color w:val="000000"/>
        </w:rPr>
        <w:instrText> HYPERLINK "mailto:fku_zakupki@roskazna.ru" </w:instrText>
      </w:r>
      <w:r>
        <w:fldChar w:fldCharType="separate"/>
      </w:r>
      <w:r>
        <w:rPr>
          <w:rStyle w:val="Hyperlink"/>
          <w:lang w:val="en-US" w:eastAsia="en-US" w:bidi="en-US"/>
          <w:w w:val="100"/>
          <w:spacing w:val="0"/>
          <w:position w:val="0"/>
        </w:rPr>
        <w:t>fku_zakupki@roskazna.ru</w:t>
      </w:r>
      <w:r>
        <w:fldChar w:fldCharType="end"/>
      </w:r>
    </w:p>
    <w:p>
      <w:pPr>
        <w:pStyle w:val="Style3"/>
        <w:widowControl w:val="0"/>
        <w:keepNext w:val="0"/>
        <w:keepLines w:val="0"/>
        <w:shd w:val="clear" w:color="auto" w:fill="auto"/>
        <w:bidi w:val="0"/>
        <w:spacing w:before="0" w:after="308" w:line="260" w:lineRule="exact"/>
        <w:ind w:left="5320" w:right="0" w:firstLine="0"/>
      </w:pPr>
      <w:r>
        <w:rPr>
          <w:lang w:val="ru-RU" w:eastAsia="ru-RU" w:bidi="ru-RU"/>
          <w:w w:val="100"/>
          <w:spacing w:val="0"/>
          <w:color w:val="000000"/>
          <w:position w:val="0"/>
        </w:rPr>
        <w:t>2. ООО «ФАН Телеком»</w:t>
      </w:r>
    </w:p>
    <w:p>
      <w:pPr>
        <w:pStyle w:val="Style3"/>
        <w:widowControl w:val="0"/>
        <w:keepNext w:val="0"/>
        <w:keepLines w:val="0"/>
        <w:shd w:val="clear" w:color="auto" w:fill="auto"/>
        <w:bidi w:val="0"/>
        <w:jc w:val="left"/>
        <w:spacing w:before="0" w:after="1140" w:line="322" w:lineRule="exact"/>
        <w:ind w:left="5320" w:right="300" w:firstLine="0"/>
      </w:pPr>
      <w:r>
        <w:rPr>
          <w:lang w:val="ru-RU" w:eastAsia="ru-RU" w:bidi="ru-RU"/>
          <w:w w:val="100"/>
          <w:spacing w:val="0"/>
          <w:color w:val="000000"/>
          <w:position w:val="0"/>
        </w:rPr>
        <w:t xml:space="preserve">Панфиловский пр-кт., д. 8, стр. 1, эт. 2, комн. 36, г. Зеленоград, г. Москва, 124460, </w:t>
      </w:r>
      <w:r>
        <w:fldChar w:fldCharType="begin"/>
      </w:r>
      <w:r>
        <w:rPr>
          <w:color w:val="000000"/>
        </w:rPr>
        <w:instrText> HYPERLINK "mailto:44ts223@gmail.com" </w:instrText>
      </w:r>
      <w:r>
        <w:fldChar w:fldCharType="separate"/>
      </w:r>
      <w:r>
        <w:rPr>
          <w:rStyle w:val="Hyperlink"/>
          <w:lang w:val="en-US" w:eastAsia="en-US" w:bidi="en-US"/>
          <w:w w:val="100"/>
          <w:spacing w:val="0"/>
          <w:position w:val="0"/>
        </w:rPr>
        <w:t>44ts223@gmail.com</w:t>
      </w:r>
      <w:r>
        <w:fldChar w:fldCharType="end"/>
      </w:r>
    </w:p>
    <w:p>
      <w:pPr>
        <w:pStyle w:val="Style5"/>
        <w:tabs>
          <w:tab w:leader="none" w:pos="11592" w:val="left"/>
        </w:tabs>
        <w:widowControl w:val="0"/>
        <w:keepNext w:val="0"/>
        <w:keepLines w:val="0"/>
        <w:shd w:val="clear" w:color="auto" w:fill="auto"/>
        <w:bidi w:val="0"/>
        <w:jc w:val="left"/>
        <w:spacing w:before="0" w:after="0"/>
        <w:ind w:left="2640" w:right="2000" w:firstLine="1740"/>
      </w:pPr>
      <w:r>
        <w:rPr>
          <w:lang w:val="ru-RU" w:eastAsia="ru-RU" w:bidi="ru-RU"/>
          <w:w w:val="100"/>
          <w:spacing w:val="0"/>
          <w:color w:val="000000"/>
          <w:position w:val="0"/>
        </w:rPr>
        <w:t>РЕШЕНИЕ по делу №077/06/106-1651/2021 о нарушении законодательства о контрактной системе</w:t>
      </w:r>
    </w:p>
    <w:p>
      <w:pPr>
        <w:pStyle w:val="Style5"/>
        <w:numPr>
          <w:ilvl w:val="0"/>
          <w:numId w:val="3"/>
        </w:numPr>
        <w:tabs>
          <w:tab w:leader="none" w:pos="8974" w:val="left"/>
          <w:tab w:leader="none" w:pos="8977"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г. Москва</w:t>
      </w:r>
    </w:p>
    <w:p>
      <w:pPr>
        <w:pStyle w:val="Style3"/>
        <w:widowControl w:val="0"/>
        <w:keepNext w:val="0"/>
        <w:keepLines w:val="0"/>
        <w:shd w:val="clear" w:color="auto" w:fill="auto"/>
        <w:bidi w:val="0"/>
        <w:spacing w:before="0" w:after="0" w:line="322" w:lineRule="exact"/>
        <w:ind w:left="20" w:right="20" w:firstLine="52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3"/>
        <w:widowControl w:val="0"/>
        <w:keepNext w:val="0"/>
        <w:keepLines w:val="0"/>
        <w:shd w:val="clear" w:color="auto" w:fill="auto"/>
        <w:bidi w:val="0"/>
        <w:spacing w:before="0" w:after="0" w:line="322" w:lineRule="exact"/>
        <w:ind w:left="20" w:right="20" w:firstLine="520"/>
      </w:pPr>
      <w:r>
        <w:rPr>
          <w:lang w:val="ru-RU" w:eastAsia="ru-RU" w:bidi="ru-RU"/>
          <w:w w:val="100"/>
          <w:spacing w:val="0"/>
          <w:color w:val="000000"/>
          <w:position w:val="0"/>
        </w:rPr>
        <w:t>Председательствующего: Заместителя председателя Комиссии — главного государственного инспектора отдела обжалования государственных закупок С.И. Казарина,</w:t>
      </w:r>
    </w:p>
    <w:p>
      <w:pPr>
        <w:pStyle w:val="Style3"/>
        <w:widowControl w:val="0"/>
        <w:keepNext w:val="0"/>
        <w:keepLines w:val="0"/>
        <w:shd w:val="clear" w:color="auto" w:fill="auto"/>
        <w:bidi w:val="0"/>
        <w:spacing w:before="0" w:after="0" w:line="322" w:lineRule="exact"/>
        <w:ind w:left="20" w:right="20" w:firstLine="52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К.А. Сомова,</w:t>
      </w:r>
    </w:p>
    <w:p>
      <w:pPr>
        <w:pStyle w:val="Style3"/>
        <w:widowControl w:val="0"/>
        <w:keepNext w:val="0"/>
        <w:keepLines w:val="0"/>
        <w:shd w:val="clear" w:color="auto" w:fill="auto"/>
        <w:bidi w:val="0"/>
        <w:spacing w:before="0" w:after="0" w:line="322" w:lineRule="exact"/>
        <w:ind w:left="20" w:right="20" w:firstLine="520"/>
      </w:pPr>
      <w:r>
        <w:rPr>
          <w:lang w:val="ru-RU" w:eastAsia="ru-RU" w:bidi="ru-RU"/>
          <w:w w:val="100"/>
          <w:spacing w:val="0"/>
          <w:color w:val="000000"/>
          <w:position w:val="0"/>
        </w:rPr>
        <w:t>Члена Комиссии - ведущего специалиста-эксперта отдела обжалования государственных закупок Н.А. Узкого,</w:t>
      </w:r>
    </w:p>
    <w:p>
      <w:pPr>
        <w:pStyle w:val="Style3"/>
        <w:widowControl w:val="0"/>
        <w:keepNext w:val="0"/>
        <w:keepLines w:val="0"/>
        <w:shd w:val="clear" w:color="auto" w:fill="auto"/>
        <w:bidi w:val="0"/>
        <w:jc w:val="left"/>
        <w:spacing w:before="0" w:after="0" w:line="322" w:lineRule="exact"/>
        <w:ind w:left="20" w:right="20" w:firstLine="52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№92- 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 xml:space="preserve">2019-nCoV., </w:t>
      </w:r>
      <w:r>
        <w:rPr>
          <w:lang w:val="ru-RU" w:eastAsia="ru-RU" w:bidi="ru-RU"/>
          <w:w w:val="100"/>
          <w:spacing w:val="0"/>
          <w:color w:val="000000"/>
          <w:position w:val="0"/>
        </w:rPr>
        <w:t>при участии представителей:</w:t>
      </w:r>
    </w:p>
    <w:p>
      <w:pPr>
        <w:pStyle w:val="Style3"/>
        <w:widowControl w:val="0"/>
        <w:keepNext w:val="0"/>
        <w:keepLines w:val="0"/>
        <w:shd w:val="clear" w:color="auto" w:fill="auto"/>
        <w:bidi w:val="0"/>
        <w:spacing w:before="0" w:after="0" w:line="322" w:lineRule="exact"/>
        <w:ind w:left="20" w:right="0" w:firstLine="520"/>
      </w:pPr>
      <w:r>
        <w:rPr>
          <w:lang w:val="ru-RU" w:eastAsia="ru-RU" w:bidi="ru-RU"/>
          <w:w w:val="100"/>
          <w:spacing w:val="0"/>
          <w:color w:val="000000"/>
          <w:position w:val="0"/>
        </w:rPr>
        <w:t>ФКУ «ЦОКР»: В.А. Авдахина, А.В. Осинского,</w:t>
      </w:r>
    </w:p>
    <w:p>
      <w:pPr>
        <w:pStyle w:val="Style3"/>
        <w:widowControl w:val="0"/>
        <w:keepNext w:val="0"/>
        <w:keepLines w:val="0"/>
        <w:shd w:val="clear" w:color="auto" w:fill="auto"/>
        <w:bidi w:val="0"/>
        <w:spacing w:before="0" w:after="356" w:line="322" w:lineRule="exact"/>
        <w:ind w:left="20" w:right="20" w:firstLine="520"/>
      </w:pPr>
      <w:r>
        <w:rPr>
          <w:lang w:val="ru-RU" w:eastAsia="ru-RU" w:bidi="ru-RU"/>
          <w:w w:val="100"/>
          <w:spacing w:val="0"/>
          <w:color w:val="000000"/>
          <w:position w:val="0"/>
        </w:rPr>
        <w:t>ООО «ФАН Телеком»: М.В. Захаровой, Е.В. Даниловой, А.С. Филиппова, рассмотрев жалобу ООО «ФАН Телеком» (далее - Заявитель) на действия ФКУ «ЦОКР» (далее — Заказчик) при проведении электронного аукциона на право заключения государственного контракта на поставку (приобретение) оборудования в целях развития корпоративной сети связи Федерального казначейства (Закупка № 0895100000120000312) (далее - Аукцион) в соответствии с Федеральным законом от 05.04.2013 №44-ФЗ «О контрактной системе в сфере закупок товаров, работ,</w:t>
      </w:r>
    </w:p>
    <w:p>
      <w:pPr>
        <w:pStyle w:val="Style7"/>
        <w:widowControl w:val="0"/>
        <w:keepNext w:val="0"/>
        <w:keepLines w:val="0"/>
        <w:shd w:val="clear" w:color="auto" w:fill="auto"/>
        <w:bidi w:val="0"/>
        <w:jc w:val="left"/>
        <w:spacing w:before="0" w:after="0" w:line="240" w:lineRule="auto"/>
        <w:ind w:left="0" w:right="0" w:firstLine="0"/>
      </w:pPr>
      <w:r>
        <w:rPr>
          <w:w w:val="100"/>
          <w:spacing w:val="0"/>
          <w:color w:val="000000"/>
          <w:position w:val="0"/>
        </w:rPr>
        <w:t>001022924885</w:t>
      </w:r>
    </w:p>
    <w:p>
      <w:pPr>
        <w:pStyle w:val="Style3"/>
        <w:widowControl w:val="0"/>
        <w:keepNext w:val="0"/>
        <w:keepLines w:val="0"/>
        <w:shd w:val="clear" w:color="auto" w:fill="auto"/>
        <w:bidi w:val="0"/>
        <w:spacing w:before="0" w:after="300" w:line="322" w:lineRule="exact"/>
        <w:ind w:left="20" w:right="20" w:firstLine="0"/>
      </w:pPr>
      <w:r>
        <w:rPr>
          <w:lang w:val="ru-RU" w:eastAsia="ru-RU" w:bidi="ru-RU"/>
          <w:w w:val="100"/>
          <w:spacing w:val="0"/>
          <w:color w:val="000000"/>
          <w:position w:val="0"/>
        </w:rPr>
        <w:t>услуг для обеспечения государственных и муниципальных нужд» (далее - Закон о контрактной системе), Административным регламентом, утвержденным Приказом ФАС России от 19.11.2014 №727/14,</w:t>
      </w:r>
    </w:p>
    <w:p>
      <w:pPr>
        <w:pStyle w:val="Style9"/>
        <w:widowControl w:val="0"/>
        <w:keepNext/>
        <w:keepLines/>
        <w:shd w:val="clear" w:color="auto" w:fill="auto"/>
        <w:bidi w:val="0"/>
        <w:spacing w:before="0" w:after="0"/>
        <w:ind w:left="2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№ЕИ/5241/21 от</w:t>
      </w:r>
    </w:p>
    <w:p>
      <w:pPr>
        <w:pStyle w:val="Style3"/>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01.02.2021</w:t>
      </w:r>
    </w:p>
    <w:p>
      <w:pPr>
        <w:pStyle w:val="Style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3"/>
        <w:numPr>
          <w:ilvl w:val="0"/>
          <w:numId w:val="5"/>
        </w:numPr>
        <w:tabs>
          <w:tab w:leader="none" w:pos="1043" w:val="left"/>
        </w:tabs>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По мнению Заявителя, Заказчиком сформировано неправомерное описание объекта закупки с использованием дополнительных характеристик, не предусмотренных каталогом товаров, работ, услуг для обеспечения государственных и муниципальных нужд (далее — КТРУ), что противоречит п.4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постановление № 145).</w:t>
      </w:r>
    </w:p>
    <w:p>
      <w:pPr>
        <w:pStyle w:val="Style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соответствии с п.10 ст.42 Закона о контрактной системе в извещении об осуществлении закупки должна содержаться, если иное не предусмотрено Законом о контрактной системе,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ст.14 Закона о контрактной системе.</w:t>
      </w:r>
    </w:p>
    <w:p>
      <w:pPr>
        <w:pStyle w:val="Style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Частью 1 статьи 64 Закона о контрактной системе установлено, что документация об электронном аукционе должна содержать информацию, указанную в извещении о проведении такого аукциона.</w:t>
      </w:r>
    </w:p>
    <w:p>
      <w:pPr>
        <w:pStyle w:val="Style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На основании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3"/>
        <w:widowControl w:val="0"/>
        <w:keepNext w:val="0"/>
        <w:keepLines w:val="0"/>
        <w:shd w:val="clear" w:color="auto" w:fill="auto"/>
        <w:bidi w:val="0"/>
        <w:spacing w:before="0" w:after="0" w:line="322" w:lineRule="exact"/>
        <w:ind w:left="0" w:right="0" w:firstLine="700"/>
      </w:pPr>
      <w:r>
        <w:rPr>
          <w:lang w:val="ru-RU" w:eastAsia="ru-RU" w:bidi="ru-RU"/>
          <w:w w:val="100"/>
          <w:spacing w:val="0"/>
          <w:color w:val="000000"/>
          <w:position w:val="0"/>
        </w:rPr>
        <w:t>В соответствии с извещением о проведении электронного аукциона от</w:t>
      </w:r>
    </w:p>
    <w:p>
      <w:pPr>
        <w:pStyle w:val="Style3"/>
        <w:numPr>
          <w:ilvl w:val="0"/>
          <w:numId w:val="7"/>
        </w:numPr>
        <w:tabs>
          <w:tab w:leader="none" w:pos="1450" w:val="left"/>
        </w:tabs>
        <w:widowControl w:val="0"/>
        <w:keepNext w:val="0"/>
        <w:keepLines w:val="0"/>
        <w:shd w:val="clear" w:color="auto" w:fill="auto"/>
        <w:bidi w:val="0"/>
        <w:spacing w:before="0" w:after="0" w:line="322" w:lineRule="exact"/>
        <w:ind w:left="0" w:right="20" w:firstLine="0"/>
      </w:pPr>
      <w:r>
        <w:rPr>
          <w:lang w:val="ru-RU" w:eastAsia="ru-RU" w:bidi="ru-RU"/>
          <w:w w:val="100"/>
          <w:spacing w:val="0"/>
          <w:color w:val="000000"/>
          <w:position w:val="0"/>
        </w:rPr>
        <w:t>№ИИ1 объектом закупки является поставка оборудования в целях развития корпоративной сети связи Федерального казначейства, так например Заказчику требуются товары, относящиеся к коду КТРУ: 26.30.23.000-00000003 «Телефонный аппарат».</w:t>
      </w:r>
    </w:p>
    <w:p>
      <w:pPr>
        <w:pStyle w:val="Style3"/>
        <w:tabs>
          <w:tab w:leader="none" w:pos="5914" w:val="left"/>
        </w:tabs>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Согласно п.20 информационной карты аукционной документации Заказчиком не установлены ограничения, предусмотренные постановлением Правительства Российской Федерации от 10.07.2019 №</w:t>
        <w:tab/>
        <w:t>878 «О мерах стимулирования</w:t>
      </w:r>
    </w:p>
    <w:p>
      <w:pPr>
        <w:pStyle w:val="Style3"/>
        <w:widowControl w:val="0"/>
        <w:keepNext w:val="0"/>
        <w:keepLines w:val="0"/>
        <w:shd w:val="clear" w:color="auto" w:fill="auto"/>
        <w:bidi w:val="0"/>
        <w:spacing w:before="0" w:after="0" w:line="322" w:lineRule="exact"/>
        <w:ind w:left="0" w:right="20" w:firstLine="0"/>
      </w:pPr>
      <w:r>
        <w:rPr>
          <w:lang w:val="ru-RU" w:eastAsia="ru-RU" w:bidi="ru-RU"/>
          <w:w w:val="100"/>
          <w:spacing w:val="0"/>
          <w:color w:val="000000"/>
          <w:position w:val="0"/>
        </w:rPr>
        <w:t>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 878), и размещено обоснование неприменения ограничений, предусмотренное пп.4, 5 постановления № 878.</w:t>
      </w:r>
    </w:p>
    <w:p>
      <w:pPr>
        <w:pStyle w:val="Style3"/>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Ст.33 Закона о контрактной системе установлены правила описания объекта закупки.</w:t>
      </w:r>
    </w:p>
    <w:p>
      <w:pPr>
        <w:pStyle w:val="Style3"/>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Заявитель в жалобе указывает на неправомерное включение в техническую часть документации, так например следующих требований, не предусмотренных каталогом КТРУ:</w:t>
      </w:r>
    </w:p>
    <w:p>
      <w:pPr>
        <w:pStyle w:val="Style3"/>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 xml:space="preserve">• п.1 Телефонный аппарат Тип 1/19, Тип 1/59»: «диагональ экрана - 3 дюйма; разрешение экрана - 128х64 пикселя; поддерживаемые аудиокодеки - </w:t>
      </w:r>
      <w:r>
        <w:rPr>
          <w:lang w:val="en-US" w:eastAsia="en-US" w:bidi="en-US"/>
          <w:w w:val="100"/>
          <w:spacing w:val="0"/>
          <w:color w:val="000000"/>
          <w:position w:val="0"/>
        </w:rPr>
        <w:t xml:space="preserve">G.711, G.729A/B, G.722», </w:t>
      </w:r>
      <w:r>
        <w:rPr>
          <w:lang w:val="ru-RU" w:eastAsia="ru-RU" w:bidi="ru-RU"/>
          <w:w w:val="100"/>
          <w:spacing w:val="0"/>
          <w:color w:val="000000"/>
          <w:position w:val="0"/>
        </w:rPr>
        <w:t xml:space="preserve">«На правой боковине расположен разъем </w:t>
      </w:r>
      <w:r>
        <w:rPr>
          <w:lang w:val="en-US" w:eastAsia="en-US" w:bidi="en-US"/>
          <w:w w:val="100"/>
          <w:spacing w:val="0"/>
          <w:color w:val="000000"/>
          <w:position w:val="0"/>
        </w:rPr>
        <w:t xml:space="preserve">USB, </w:t>
      </w:r>
      <w:r>
        <w:rPr>
          <w:lang w:val="ru-RU" w:eastAsia="ru-RU" w:bidi="ru-RU"/>
          <w:w w:val="100"/>
          <w:spacing w:val="0"/>
          <w:color w:val="000000"/>
          <w:position w:val="0"/>
        </w:rPr>
        <w:t xml:space="preserve">предназначенный для зарядки устройств», «поддержка </w:t>
      </w:r>
      <w:r>
        <w:rPr>
          <w:lang w:val="en-US" w:eastAsia="en-US" w:bidi="en-US"/>
          <w:w w:val="100"/>
          <w:spacing w:val="0"/>
          <w:color w:val="000000"/>
          <w:position w:val="0"/>
        </w:rPr>
        <w:t xml:space="preserve">RFC </w:t>
      </w:r>
      <w:r>
        <w:rPr>
          <w:lang w:val="ru-RU" w:eastAsia="ru-RU" w:bidi="ru-RU"/>
          <w:w w:val="100"/>
          <w:spacing w:val="0"/>
          <w:color w:val="000000"/>
          <w:position w:val="0"/>
        </w:rPr>
        <w:t xml:space="preserve">3261, </w:t>
      </w:r>
      <w:r>
        <w:rPr>
          <w:lang w:val="en-US" w:eastAsia="en-US" w:bidi="en-US"/>
          <w:w w:val="100"/>
          <w:spacing w:val="0"/>
          <w:color w:val="000000"/>
          <w:position w:val="0"/>
        </w:rPr>
        <w:t xml:space="preserve">RFC5359, RFC </w:t>
      </w:r>
      <w:r>
        <w:rPr>
          <w:lang w:val="ru-RU" w:eastAsia="ru-RU" w:bidi="ru-RU"/>
          <w:w w:val="100"/>
          <w:spacing w:val="0"/>
          <w:color w:val="000000"/>
          <w:position w:val="0"/>
        </w:rPr>
        <w:t xml:space="preserve">3262, </w:t>
      </w:r>
      <w:r>
        <w:rPr>
          <w:lang w:val="en-US" w:eastAsia="en-US" w:bidi="en-US"/>
          <w:w w:val="100"/>
          <w:spacing w:val="0"/>
          <w:color w:val="000000"/>
          <w:position w:val="0"/>
        </w:rPr>
        <w:t xml:space="preserve">RFC </w:t>
      </w:r>
      <w:r>
        <w:rPr>
          <w:lang w:val="ru-RU" w:eastAsia="ru-RU" w:bidi="ru-RU"/>
          <w:w w:val="100"/>
          <w:spacing w:val="0"/>
          <w:color w:val="000000"/>
          <w:position w:val="0"/>
        </w:rPr>
        <w:t xml:space="preserve">3680, </w:t>
      </w:r>
      <w:r>
        <w:rPr>
          <w:lang w:val="en-US" w:eastAsia="en-US" w:bidi="en-US"/>
          <w:w w:val="100"/>
          <w:spacing w:val="0"/>
          <w:color w:val="000000"/>
          <w:position w:val="0"/>
        </w:rPr>
        <w:t xml:space="preserve">RFC 3265, RFC5628, RFC 3261; </w:t>
      </w:r>
      <w:r>
        <w:rPr>
          <w:lang w:val="ru-RU" w:eastAsia="ru-RU" w:bidi="ru-RU"/>
          <w:w w:val="100"/>
          <w:spacing w:val="0"/>
          <w:color w:val="000000"/>
          <w:position w:val="0"/>
        </w:rPr>
        <w:t xml:space="preserve">поддержка </w:t>
      </w:r>
      <w:r>
        <w:rPr>
          <w:lang w:val="en-US" w:eastAsia="en-US" w:bidi="en-US"/>
          <w:w w:val="100"/>
          <w:spacing w:val="0"/>
          <w:color w:val="000000"/>
          <w:position w:val="0"/>
        </w:rPr>
        <w:t xml:space="preserve">IPv4; </w:t>
      </w:r>
      <w:r>
        <w:rPr>
          <w:lang w:val="ru-RU" w:eastAsia="ru-RU" w:bidi="ru-RU"/>
          <w:w w:val="100"/>
          <w:spacing w:val="0"/>
          <w:color w:val="000000"/>
          <w:position w:val="0"/>
        </w:rPr>
        <w:t xml:space="preserve">поддержка протоколов </w:t>
      </w:r>
      <w:r>
        <w:rPr>
          <w:lang w:val="en-US" w:eastAsia="en-US" w:bidi="en-US"/>
          <w:w w:val="100"/>
          <w:spacing w:val="0"/>
          <w:color w:val="000000"/>
          <w:position w:val="0"/>
        </w:rPr>
        <w:t>DHCP,</w:t>
      </w:r>
    </w:p>
    <w:p>
      <w:pPr>
        <w:pStyle w:val="Style3"/>
        <w:widowControl w:val="0"/>
        <w:keepNext w:val="0"/>
        <w:keepLines w:val="0"/>
        <w:shd w:val="clear" w:color="auto" w:fill="auto"/>
        <w:bidi w:val="0"/>
        <w:spacing w:before="0" w:after="0" w:line="322" w:lineRule="exact"/>
        <w:ind w:left="20" w:right="20" w:firstLine="0"/>
      </w:pPr>
      <w:r>
        <w:rPr>
          <w:lang w:val="en-US" w:eastAsia="en-US" w:bidi="en-US"/>
          <w:w w:val="100"/>
          <w:spacing w:val="0"/>
          <w:color w:val="000000"/>
          <w:position w:val="0"/>
        </w:rPr>
        <w:t xml:space="preserve">SNMPv2, Sysl», </w:t>
      </w:r>
      <w:r>
        <w:rPr>
          <w:lang w:val="ru-RU" w:eastAsia="ru-RU" w:bidi="ru-RU"/>
          <w:w w:val="100"/>
          <w:spacing w:val="0"/>
          <w:color w:val="000000"/>
          <w:position w:val="0"/>
        </w:rPr>
        <w:t>«Монохромный дисплей с диагональю 3,2 дюйма и разрешением 128х64, с подсветкой»;</w:t>
      </w:r>
    </w:p>
    <w:p>
      <w:pPr>
        <w:pStyle w:val="Style3"/>
        <w:tabs>
          <w:tab w:leader="none" w:pos="10195" w:val="right"/>
        </w:tabs>
        <w:widowControl w:val="0"/>
        <w:keepNext w:val="0"/>
        <w:keepLines w:val="0"/>
        <w:shd w:val="clear" w:color="auto" w:fill="auto"/>
        <w:bidi w:val="0"/>
        <w:spacing w:before="0" w:after="0" w:line="322" w:lineRule="exact"/>
        <w:ind w:left="20" w:right="0" w:firstLine="700"/>
      </w:pPr>
      <w:r>
        <w:rPr>
          <w:lang w:val="ru-RU" w:eastAsia="ru-RU" w:bidi="ru-RU"/>
          <w:w w:val="100"/>
          <w:spacing w:val="0"/>
          <w:color w:val="000000"/>
          <w:position w:val="0"/>
        </w:rPr>
        <w:t>• п.2 «Телефонный аппарат Тип 2/19, Тип 2/59»:</w:t>
        <w:tab/>
        <w:t>«поддерживаемые</w:t>
      </w:r>
    </w:p>
    <w:p>
      <w:pPr>
        <w:pStyle w:val="Style3"/>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 xml:space="preserve">аудиокодеки - </w:t>
      </w:r>
      <w:r>
        <w:rPr>
          <w:lang w:val="en-US" w:eastAsia="en-US" w:bidi="en-US"/>
          <w:w w:val="100"/>
          <w:spacing w:val="0"/>
          <w:color w:val="000000"/>
          <w:position w:val="0"/>
        </w:rPr>
        <w:t xml:space="preserve">G.711, G.729A/B, G.722», </w:t>
      </w:r>
      <w:r>
        <w:rPr>
          <w:lang w:val="ru-RU" w:eastAsia="ru-RU" w:bidi="ru-RU"/>
          <w:w w:val="100"/>
          <w:spacing w:val="0"/>
          <w:color w:val="000000"/>
          <w:position w:val="0"/>
        </w:rPr>
        <w:t xml:space="preserve">«поддержка </w:t>
      </w:r>
      <w:r>
        <w:rPr>
          <w:lang w:val="en-US" w:eastAsia="en-US" w:bidi="en-US"/>
          <w:w w:val="100"/>
          <w:spacing w:val="0"/>
          <w:color w:val="000000"/>
          <w:position w:val="0"/>
        </w:rPr>
        <w:t xml:space="preserve">RFC </w:t>
      </w:r>
      <w:r>
        <w:rPr>
          <w:lang w:val="ru-RU" w:eastAsia="ru-RU" w:bidi="ru-RU"/>
          <w:w w:val="100"/>
          <w:spacing w:val="0"/>
          <w:color w:val="000000"/>
          <w:position w:val="0"/>
        </w:rPr>
        <w:t xml:space="preserve">3261, </w:t>
      </w:r>
      <w:r>
        <w:rPr>
          <w:lang w:val="en-US" w:eastAsia="en-US" w:bidi="en-US"/>
          <w:w w:val="100"/>
          <w:spacing w:val="0"/>
          <w:color w:val="000000"/>
          <w:position w:val="0"/>
        </w:rPr>
        <w:t xml:space="preserve">RFC5359, RFC </w:t>
      </w:r>
      <w:r>
        <w:rPr>
          <w:lang w:val="ru-RU" w:eastAsia="ru-RU" w:bidi="ru-RU"/>
          <w:w w:val="100"/>
          <w:spacing w:val="0"/>
          <w:color w:val="000000"/>
          <w:position w:val="0"/>
        </w:rPr>
        <w:t xml:space="preserve">3262, </w:t>
      </w:r>
      <w:r>
        <w:rPr>
          <w:lang w:val="en-US" w:eastAsia="en-US" w:bidi="en-US"/>
          <w:w w:val="100"/>
          <w:spacing w:val="0"/>
          <w:color w:val="000000"/>
          <w:position w:val="0"/>
        </w:rPr>
        <w:t xml:space="preserve">RFC </w:t>
      </w:r>
      <w:r>
        <w:rPr>
          <w:lang w:val="ru-RU" w:eastAsia="ru-RU" w:bidi="ru-RU"/>
          <w:w w:val="100"/>
          <w:spacing w:val="0"/>
          <w:color w:val="000000"/>
          <w:position w:val="0"/>
        </w:rPr>
        <w:t xml:space="preserve">3680, </w:t>
      </w:r>
      <w:r>
        <w:rPr>
          <w:lang w:val="en-US" w:eastAsia="en-US" w:bidi="en-US"/>
          <w:w w:val="100"/>
          <w:spacing w:val="0"/>
          <w:color w:val="000000"/>
          <w:position w:val="0"/>
        </w:rPr>
        <w:t xml:space="preserve">RFC 3265, RFC5628, RFC 3261; </w:t>
      </w:r>
      <w:r>
        <w:rPr>
          <w:lang w:val="ru-RU" w:eastAsia="ru-RU" w:bidi="ru-RU"/>
          <w:w w:val="100"/>
          <w:spacing w:val="0"/>
          <w:color w:val="000000"/>
          <w:position w:val="0"/>
        </w:rPr>
        <w:t xml:space="preserve">поддержка </w:t>
      </w:r>
      <w:r>
        <w:rPr>
          <w:lang w:val="en-US" w:eastAsia="en-US" w:bidi="en-US"/>
          <w:w w:val="100"/>
          <w:spacing w:val="0"/>
          <w:color w:val="000000"/>
          <w:position w:val="0"/>
        </w:rPr>
        <w:t xml:space="preserve">IPv4; </w:t>
      </w:r>
      <w:r>
        <w:rPr>
          <w:lang w:val="ru-RU" w:eastAsia="ru-RU" w:bidi="ru-RU"/>
          <w:w w:val="100"/>
          <w:spacing w:val="0"/>
          <w:color w:val="000000"/>
          <w:position w:val="0"/>
        </w:rPr>
        <w:t xml:space="preserve">поддержка протоколов </w:t>
      </w:r>
      <w:r>
        <w:rPr>
          <w:lang w:val="en-US" w:eastAsia="en-US" w:bidi="en-US"/>
          <w:w w:val="100"/>
          <w:spacing w:val="0"/>
          <w:color w:val="000000"/>
          <w:position w:val="0"/>
        </w:rPr>
        <w:t xml:space="preserve">DHCP, SNMPv2, Sysl», </w:t>
      </w:r>
      <w:r>
        <w:rPr>
          <w:lang w:val="ru-RU" w:eastAsia="ru-RU" w:bidi="ru-RU"/>
          <w:w w:val="100"/>
          <w:spacing w:val="0"/>
          <w:color w:val="000000"/>
          <w:position w:val="0"/>
        </w:rPr>
        <w:t>«поддержка конференцсвязи на 4 абонентов», «Монохромный дисплей с диагональю 3,2 дюйма и разрешением 128х64, с подсветкой».</w:t>
      </w:r>
    </w:p>
    <w:p>
      <w:pPr>
        <w:pStyle w:val="Style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Постановлением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
    <w:p>
      <w:pPr>
        <w:pStyle w:val="Style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Согласно пп. «б» п.2 Правил использования КТРУ каталог используется заказчиками в целях описания объектов закупки, которое включается в план- график закупок, извещение об осуществлении закупки, приглашение и документацию о закупке.</w:t>
      </w:r>
    </w:p>
    <w:p>
      <w:pPr>
        <w:pStyle w:val="Style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На основании п.4 Правил использования КТРУ Заказчики обязаны применять информацию, включенную в позицию каталога в соответствии с подпунктами «б» - «и» п.10 Правил формирования КТРУ.</w:t>
      </w:r>
    </w:p>
    <w:p>
      <w:pPr>
        <w:pStyle w:val="Style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соответствии с пп. «г»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силу п.5 Правил использования КТРУ Заказчик вправе указать в плане закупок, плане-графике закупок, формах обоснования закупок,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 за</w:t>
      </w:r>
    </w:p>
    <w:p>
      <w:pPr>
        <w:pStyle w:val="Style3"/>
        <w:widowControl w:val="0"/>
        <w:keepNext w:val="0"/>
        <w:keepLines w:val="0"/>
        <w:shd w:val="clear" w:color="auto" w:fill="auto"/>
        <w:bidi w:val="0"/>
        <w:jc w:val="left"/>
        <w:spacing w:before="0" w:after="0" w:line="322" w:lineRule="exact"/>
        <w:ind w:left="0" w:right="0" w:firstLine="0"/>
      </w:pPr>
      <w:r>
        <w:rPr>
          <w:lang w:val="ru-RU" w:eastAsia="ru-RU" w:bidi="ru-RU"/>
          <w:w w:val="100"/>
          <w:spacing w:val="0"/>
          <w:color w:val="000000"/>
          <w:position w:val="0"/>
        </w:rPr>
        <w:t>исключением случаев:</w:t>
      </w:r>
    </w:p>
    <w:p>
      <w:pPr>
        <w:pStyle w:val="Style3"/>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а)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w:t>
      </w:r>
    </w:p>
    <w:p>
      <w:pPr>
        <w:pStyle w:val="Style3"/>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Закона о контрактной системе.</w:t>
      </w:r>
    </w:p>
    <w:p>
      <w:pPr>
        <w:pStyle w:val="Style3"/>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Таким образом, из п.5 Правил использования КТРУ следует, что Заказчик не вправе указывать дополнительную информацию о товаре в случае, если такой товар включен в перечень радиоэлектронной продукции, происходящей из иностранных государств, в отношении которой устанавливаются ограничения, предусмотренные постановлением № 878. В рассматриваемом случае вышеупомянутые ограничения Заказчиком не установлены, ввиду чего указание дополнительной информации о товаре в соответствии с требованиями ст.33 Закона о контрактной системе является правом Заказчика.</w:t>
      </w:r>
    </w:p>
    <w:p>
      <w:pPr>
        <w:pStyle w:val="Style3"/>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Согласно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3"/>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На заседании Комиссии Управления представитель Заказчика пояснил, что требование к использованию телефонных аппаратов с дополнительными характеристиками обусловлено необходимостью соответствия разработанному инженерно-техническому решению на «Построение единой корпоративной телефонной сети ФК». В инженерно-техническом решении сформулированы дополнительные требования к телефонным аппаратам, которые должны выполняться для достижения результата оказываемых услуг.</w:t>
      </w:r>
    </w:p>
    <w:p>
      <w:pPr>
        <w:pStyle w:val="Style3"/>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 xml:space="preserve">Комиссией Управления также установлено, что согласно положениям технической части документации: «Товары, поставляемые по этапам 1, 2 и 3 должны быть идентичными, одних моделей и одного производителя, а также должны быть совместимы между собой, а также с используемой на объектах Грузополучателя системой «Виртуальная АТС», реализованной на базе программного обеспечения, зарегистрированного в едином реестре российских программ для электронных вычислительных машин и баз данных - «Сервисная платформа </w:t>
      </w:r>
      <w:r>
        <w:rPr>
          <w:lang w:val="en-US" w:eastAsia="en-US" w:bidi="en-US"/>
          <w:w w:val="100"/>
          <w:spacing w:val="0"/>
          <w:color w:val="000000"/>
          <w:position w:val="0"/>
        </w:rPr>
        <w:t xml:space="preserve">«Svetets TMS», </w:t>
      </w:r>
      <w:r>
        <w:rPr>
          <w:lang w:val="ru-RU" w:eastAsia="ru-RU" w:bidi="ru-RU"/>
          <w:w w:val="100"/>
          <w:spacing w:val="0"/>
          <w:color w:val="000000"/>
          <w:position w:val="0"/>
        </w:rPr>
        <w:t>версия 5.0» (регистрационный номер ПО 3399)».</w:t>
      </w:r>
    </w:p>
    <w:p>
      <w:pPr>
        <w:pStyle w:val="Style3"/>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 xml:space="preserve">Представителем Заказчика также представлен ответ ПАО «Ростелеком», согласно которому услуги связи оказываются с использованием системы «Виртуальная АТС» ПАО «Ростелеком», реализованной на базе программного обеспечения, зарегистрированного в едином реестре российского ПО - «Сервисная платформа </w:t>
      </w:r>
      <w:r>
        <w:rPr>
          <w:lang w:val="en-US" w:eastAsia="en-US" w:bidi="en-US"/>
          <w:w w:val="100"/>
          <w:spacing w:val="0"/>
          <w:color w:val="000000"/>
          <w:position w:val="0"/>
        </w:rPr>
        <w:t xml:space="preserve">«Svetets TMS», </w:t>
      </w:r>
      <w:r>
        <w:rPr>
          <w:lang w:val="ru-RU" w:eastAsia="ru-RU" w:bidi="ru-RU"/>
          <w:w w:val="100"/>
          <w:spacing w:val="0"/>
          <w:color w:val="000000"/>
          <w:position w:val="0"/>
        </w:rPr>
        <w:t>версия 5.0, производство ООО «Фирма «СВЕТЕЦ».</w:t>
      </w:r>
    </w:p>
    <w:p>
      <w:pPr>
        <w:pStyle w:val="Style3"/>
        <w:tabs>
          <w:tab w:leader="none" w:pos="6750" w:val="right"/>
          <w:tab w:leader="none" w:pos="6898" w:val="left"/>
          <w:tab w:leader="none" w:pos="10177" w:val="right"/>
        </w:tabs>
        <w:widowControl w:val="0"/>
        <w:keepNext w:val="0"/>
        <w:keepLines w:val="0"/>
        <w:shd w:val="clear" w:color="auto" w:fill="auto"/>
        <w:bidi w:val="0"/>
        <w:spacing w:before="0" w:after="0" w:line="322" w:lineRule="exact"/>
        <w:ind w:left="0" w:right="0" w:firstLine="700"/>
      </w:pPr>
      <w:r>
        <w:rPr>
          <w:lang w:val="ru-RU" w:eastAsia="ru-RU" w:bidi="ru-RU"/>
          <w:w w:val="100"/>
          <w:spacing w:val="0"/>
          <w:color w:val="000000"/>
          <w:position w:val="0"/>
        </w:rPr>
        <w:t>Представитель Заказчика</w:t>
        <w:tab/>
        <w:t>также пояснил,</w:t>
        <w:tab/>
        <w:t>что среди</w:t>
        <w:tab/>
        <w:t>документов,</w:t>
      </w:r>
    </w:p>
    <w:p>
      <w:pPr>
        <w:pStyle w:val="Style3"/>
        <w:tabs>
          <w:tab w:leader="none" w:pos="6750" w:val="right"/>
          <w:tab w:leader="none" w:pos="6894" w:val="left"/>
          <w:tab w:leader="none" w:pos="10177" w:val="right"/>
        </w:tabs>
        <w:widowControl w:val="0"/>
        <w:keepNext w:val="0"/>
        <w:keepLines w:val="0"/>
        <w:shd w:val="clear" w:color="auto" w:fill="auto"/>
        <w:bidi w:val="0"/>
        <w:spacing w:before="0" w:after="0" w:line="322" w:lineRule="exact"/>
        <w:ind w:left="0" w:right="20" w:firstLine="0"/>
      </w:pPr>
      <w:r>
        <w:rPr>
          <w:lang w:val="ru-RU" w:eastAsia="ru-RU" w:bidi="ru-RU"/>
          <w:w w:val="100"/>
          <w:spacing w:val="0"/>
          <w:color w:val="000000"/>
          <w:position w:val="0"/>
        </w:rPr>
        <w:t>опубликованных Заказчиком в Единой информационной системе в сфере закупок, размещены обоснование невозможности соблюдения ограничений на допуск радиоэлектронной продукции,</w:t>
        <w:tab/>
        <w:t>происходящей из</w:t>
        <w:tab/>
        <w:t>иностранных</w:t>
        <w:tab/>
        <w:t>государств,</w:t>
      </w:r>
    </w:p>
    <w:p>
      <w:pPr>
        <w:pStyle w:val="Style3"/>
        <w:widowControl w:val="0"/>
        <w:keepNext w:val="0"/>
        <w:keepLines w:val="0"/>
        <w:shd w:val="clear" w:color="auto" w:fill="auto"/>
        <w:bidi w:val="0"/>
        <w:spacing w:before="0" w:after="0" w:line="322" w:lineRule="exact"/>
        <w:ind w:left="0" w:right="20" w:firstLine="0"/>
      </w:pPr>
      <w:r>
        <w:rPr>
          <w:lang w:val="ru-RU" w:eastAsia="ru-RU" w:bidi="ru-RU"/>
          <w:w w:val="100"/>
          <w:spacing w:val="0"/>
          <w:color w:val="000000"/>
          <w:position w:val="0"/>
        </w:rPr>
        <w:t>предусмотренных постановлением № 878, а также в составе технической части документации приведено обоснование необходимости использования дополнительной информации, а также дополнительных потребительских свойств, в том числе функциональных, технических, качественных, эксплуатационных характеристик необходимых к поставке товаров на основании необходимости соблюдения совместимости оборудования.</w:t>
      </w:r>
    </w:p>
    <w:p>
      <w:pPr>
        <w:pStyle w:val="Style3"/>
        <w:tabs>
          <w:tab w:leader="none" w:pos="6750" w:val="right"/>
          <w:tab w:leader="none" w:pos="6894" w:val="left"/>
          <w:tab w:leader="none" w:pos="10177" w:val="right"/>
        </w:tabs>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Комиссия Управления приходит к выводу о возможности использования дополнительных характеристик поставляемого оборудования, не предусмотренного каталогом КТРУ, с учетом размещения наряду с извещением о проведении процедуры обоснования невозможности соблюдения ограничений на допуск радиоэлектронной продукции,</w:t>
        <w:tab/>
        <w:t>происходящей из</w:t>
        <w:tab/>
        <w:t>иностранных</w:t>
        <w:tab/>
        <w:t>государств,</w:t>
      </w:r>
    </w:p>
    <w:p>
      <w:pPr>
        <w:pStyle w:val="Style3"/>
        <w:widowControl w:val="0"/>
        <w:keepNext w:val="0"/>
        <w:keepLines w:val="0"/>
        <w:shd w:val="clear" w:color="auto" w:fill="auto"/>
        <w:bidi w:val="0"/>
        <w:spacing w:before="0" w:after="0" w:line="322" w:lineRule="exact"/>
        <w:ind w:left="0" w:right="20" w:firstLine="0"/>
      </w:pPr>
      <w:r>
        <w:rPr>
          <w:lang w:val="ru-RU" w:eastAsia="ru-RU" w:bidi="ru-RU"/>
          <w:w w:val="100"/>
          <w:spacing w:val="0"/>
          <w:color w:val="000000"/>
          <w:position w:val="0"/>
        </w:rPr>
        <w:t>предусмотренных постановлением № 878, а также обоснования необходимости использования дополнительной информации, дополнительных потребительских свойств, в том числе функциональных, технических, качественных, эксплуатационных характеристик, предусмотренного п.6 Правил использования КТРУ, необходимого к поставке оборудования, отвечающих утвержденному порядку и требованиям вышеуказанных постановлений.</w:t>
      </w:r>
    </w:p>
    <w:p>
      <w:pPr>
        <w:pStyle w:val="Style3"/>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В то же самое время в качестве подтверждения обоснованности приведенных в жалобе доводов Заявитель ссылается на позицию Министерства финансов Российской Федерации, отраженной в письме от 25.08.2020 № 24-06-05/74463 «О применении положений постановления Правительства Российской Федерации от 30.06.2020 № 961», согласно которой Заказчик вне зависимости от установления ограничения на допуск радиоэлектронной продукции, происходящей из иностранных государств, предусмотренных Постановлением Правительства № 878, обязан использовать исключительно характеристики, предусмотренные каталогом КРТУ.</w:t>
      </w:r>
    </w:p>
    <w:p>
      <w:pPr>
        <w:pStyle w:val="Style3"/>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Вместе с тем позиция Комиссии Управления подтверждается фактом внесения изменений в пп. «а» п.5 Правил использования КТРУ постановлением Правительства Российской Федерации 24.11.2020 № 1909 «О внесении изменений в некоторые акты</w:t>
      </w:r>
    </w:p>
    <w:p>
      <w:pPr>
        <w:pStyle w:val="Style3"/>
        <w:widowControl w:val="0"/>
        <w:keepNext w:val="0"/>
        <w:keepLines w:val="0"/>
        <w:shd w:val="clear" w:color="auto" w:fill="auto"/>
        <w:bidi w:val="0"/>
        <w:spacing w:before="0" w:after="0" w:line="322" w:lineRule="exact"/>
        <w:ind w:left="0" w:right="20" w:firstLine="0"/>
      </w:pPr>
      <w:r>
        <w:rPr>
          <w:lang w:val="ru-RU" w:eastAsia="ru-RU" w:bidi="ru-RU"/>
          <w:w w:val="100"/>
          <w:spacing w:val="0"/>
          <w:color w:val="000000"/>
          <w:position w:val="0"/>
        </w:rPr>
        <w:t>Правительства Российской Федерации по вопросам осуществления закупок товаров, работ, услуг для обеспечения государственных и мун</w:t>
      </w:r>
      <w:r>
        <w:rPr>
          <w:rStyle w:val="CharStyle11"/>
        </w:rPr>
        <w:t>ици</w:t>
      </w:r>
      <w:r>
        <w:rPr>
          <w:lang w:val="ru-RU" w:eastAsia="ru-RU" w:bidi="ru-RU"/>
          <w:w w:val="100"/>
          <w:spacing w:val="0"/>
          <w:color w:val="000000"/>
          <w:position w:val="0"/>
        </w:rPr>
        <w:t>пальных нужд и закупок товаров, работ, услуг отдельными видами юридических лиц и признании утратив</w:t>
      </w:r>
      <w:r>
        <w:rPr>
          <w:rStyle w:val="CharStyle11"/>
        </w:rPr>
        <w:t>ши</w:t>
      </w:r>
      <w:r>
        <w:rPr>
          <w:lang w:val="ru-RU" w:eastAsia="ru-RU" w:bidi="ru-RU"/>
          <w:w w:val="100"/>
          <w:spacing w:val="0"/>
          <w:color w:val="000000"/>
          <w:position w:val="0"/>
        </w:rPr>
        <w:t>ми силу отдельных положений актов Правительства Российской Федерации», исключающих неоднозначное трактование смысла данного подпункта и подтверждающих право Заказчика указывать в извещении об осуществлении закупки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ст.33 Закона о контрактной системе, которые не предусмотрены поз</w:t>
      </w:r>
      <w:r>
        <w:rPr>
          <w:rStyle w:val="CharStyle11"/>
        </w:rPr>
        <w:t>ици</w:t>
      </w:r>
      <w:r>
        <w:rPr>
          <w:lang w:val="ru-RU" w:eastAsia="ru-RU" w:bidi="ru-RU"/>
          <w:w w:val="100"/>
          <w:spacing w:val="0"/>
          <w:color w:val="000000"/>
          <w:position w:val="0"/>
        </w:rPr>
        <w:t>ей каталога, если в соответствии с положениями постановления № 878 Заказчиком не установлены ограничения на допуск радиоэлектронной продукции, происходящей из иностранных государств.</w:t>
      </w:r>
    </w:p>
    <w:p>
      <w:pPr>
        <w:pStyle w:val="Style3"/>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При таких данных Комиссия Управления приходит к выводу о том, что довод жалобы не нашел своего подтверждения и является необоснованным.</w:t>
      </w:r>
    </w:p>
    <w:p>
      <w:pPr>
        <w:pStyle w:val="Style3"/>
        <w:numPr>
          <w:ilvl w:val="0"/>
          <w:numId w:val="5"/>
        </w:numPr>
        <w:tabs>
          <w:tab w:leader="none" w:pos="1181" w:val="left"/>
        </w:tabs>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 xml:space="preserve">В своей жалобе Заявитель указывает на то, что совокупности требований технического задания соответствует исключительно продукция единственного производителя </w:t>
      </w:r>
      <w:r>
        <w:rPr>
          <w:lang w:val="en-US" w:eastAsia="en-US" w:bidi="en-US"/>
          <w:w w:val="100"/>
          <w:spacing w:val="0"/>
          <w:color w:val="000000"/>
          <w:position w:val="0"/>
        </w:rPr>
        <w:t xml:space="preserve">«Yealink», </w:t>
      </w:r>
      <w:r>
        <w:rPr>
          <w:lang w:val="ru-RU" w:eastAsia="ru-RU" w:bidi="ru-RU"/>
          <w:w w:val="100"/>
          <w:spacing w:val="0"/>
          <w:color w:val="000000"/>
          <w:position w:val="0"/>
        </w:rPr>
        <w:t>Китай.</w:t>
      </w:r>
    </w:p>
    <w:p>
      <w:pPr>
        <w:pStyle w:val="Style3"/>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На основании п.1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 начальных цен единиц товара, работы, услуги.</w:t>
      </w:r>
    </w:p>
    <w:p>
      <w:pPr>
        <w:pStyle w:val="Style3"/>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На основании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3"/>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На заседании Комиссии Управления представитель Заказчика пояснил, что совокупности установленных в технической части документации требований отвечает продукция как минимум двух производителей:</w:t>
      </w:r>
    </w:p>
    <w:p>
      <w:pPr>
        <w:pStyle w:val="Style3"/>
        <w:numPr>
          <w:ilvl w:val="0"/>
          <w:numId w:val="9"/>
        </w:numPr>
        <w:widowControl w:val="0"/>
        <w:keepNext w:val="0"/>
        <w:keepLines w:val="0"/>
        <w:shd w:val="clear" w:color="auto" w:fill="auto"/>
        <w:bidi w:val="0"/>
        <w:spacing w:before="0" w:after="0" w:line="322" w:lineRule="exact"/>
        <w:ind w:left="0" w:right="20" w:firstLine="560"/>
      </w:pPr>
      <w:r>
        <w:rPr>
          <w:lang w:val="ru-RU" w:eastAsia="ru-RU" w:bidi="ru-RU"/>
          <w:w w:val="100"/>
          <w:spacing w:val="0"/>
          <w:color w:val="000000"/>
          <w:position w:val="0"/>
        </w:rPr>
        <w:t xml:space="preserve"> телефонный аппарата Тип 1/19, Тип 1/59 </w:t>
      </w:r>
      <w:r>
        <w:rPr>
          <w:lang w:val="en-US" w:eastAsia="en-US" w:bidi="en-US"/>
          <w:w w:val="100"/>
          <w:spacing w:val="0"/>
          <w:color w:val="000000"/>
          <w:position w:val="0"/>
        </w:rPr>
        <w:t xml:space="preserve">(IP </w:t>
      </w:r>
      <w:r>
        <w:rPr>
          <w:lang w:val="ru-RU" w:eastAsia="ru-RU" w:bidi="ru-RU"/>
          <w:w w:val="100"/>
          <w:spacing w:val="0"/>
          <w:color w:val="000000"/>
          <w:position w:val="0"/>
        </w:rPr>
        <w:t xml:space="preserve">-телефон): </w:t>
      </w:r>
      <w:r>
        <w:rPr>
          <w:lang w:val="en-US" w:eastAsia="en-US" w:bidi="en-US"/>
          <w:w w:val="100"/>
          <w:spacing w:val="0"/>
          <w:color w:val="000000"/>
          <w:position w:val="0"/>
        </w:rPr>
        <w:t xml:space="preserve">Yealink SIP-T43U </w:t>
      </w:r>
      <w:r>
        <w:rPr>
          <w:lang w:val="ru-RU" w:eastAsia="ru-RU" w:bidi="ru-RU"/>
          <w:w w:val="100"/>
          <w:spacing w:val="0"/>
          <w:color w:val="000000"/>
          <w:position w:val="0"/>
        </w:rPr>
        <w:t xml:space="preserve">и </w:t>
      </w:r>
      <w:r>
        <w:rPr>
          <w:lang w:val="en-US" w:eastAsia="en-US" w:bidi="en-US"/>
          <w:w w:val="100"/>
          <w:spacing w:val="0"/>
          <w:color w:val="000000"/>
          <w:position w:val="0"/>
        </w:rPr>
        <w:t xml:space="preserve">Polycom VVX </w:t>
      </w:r>
      <w:r>
        <w:rPr>
          <w:lang w:val="ru-RU" w:eastAsia="ru-RU" w:bidi="ru-RU"/>
          <w:w w:val="100"/>
          <w:spacing w:val="0"/>
          <w:color w:val="000000"/>
          <w:position w:val="0"/>
        </w:rPr>
        <w:t>450;</w:t>
      </w:r>
    </w:p>
    <w:p>
      <w:pPr>
        <w:pStyle w:val="Style3"/>
        <w:numPr>
          <w:ilvl w:val="0"/>
          <w:numId w:val="9"/>
        </w:numPr>
        <w:tabs>
          <w:tab w:leader="none" w:pos="6080" w:val="left"/>
          <w:tab w:leader="none" w:pos="6920" w:val="center"/>
          <w:tab w:leader="none" w:pos="7549" w:val="right"/>
          <w:tab w:leader="none" w:pos="8427" w:val="center"/>
          <w:tab w:leader="none" w:pos="9440" w:val="center"/>
          <w:tab w:leader="none" w:pos="10149" w:val="right"/>
        </w:tabs>
        <w:widowControl w:val="0"/>
        <w:keepNext w:val="0"/>
        <w:keepLines w:val="0"/>
        <w:shd w:val="clear" w:color="auto" w:fill="auto"/>
        <w:bidi w:val="0"/>
        <w:spacing w:before="0" w:after="0" w:line="322" w:lineRule="exact"/>
        <w:ind w:left="0" w:right="0" w:firstLine="560"/>
      </w:pPr>
      <w:r>
        <w:rPr>
          <w:lang w:val="ru-RU" w:eastAsia="ru-RU" w:bidi="ru-RU"/>
          <w:w w:val="100"/>
          <w:spacing w:val="0"/>
          <w:color w:val="000000"/>
          <w:position w:val="0"/>
        </w:rPr>
        <w:t xml:space="preserve"> консоль для телефонного аппарата Тип</w:t>
        <w:tab/>
        <w:t>1/19,</w:t>
        <w:tab/>
        <w:t>Тип</w:t>
        <w:tab/>
        <w:t>1/59</w:t>
        <w:tab/>
        <w:t>(Консоль</w:t>
        <w:tab/>
        <w:t>для</w:t>
        <w:tab/>
      </w:r>
      <w:r>
        <w:rPr>
          <w:lang w:val="en-US" w:eastAsia="en-US" w:bidi="en-US"/>
          <w:w w:val="100"/>
          <w:spacing w:val="0"/>
          <w:color w:val="000000"/>
          <w:position w:val="0"/>
        </w:rPr>
        <w:t>IP</w:t>
      </w:r>
      <w:r>
        <w:rPr>
          <w:lang w:val="ru-RU" w:eastAsia="ru-RU" w:bidi="ru-RU"/>
          <w:w w:val="100"/>
          <w:spacing w:val="0"/>
          <w:color w:val="000000"/>
          <w:position w:val="0"/>
        </w:rPr>
        <w:t>-</w:t>
      </w:r>
    </w:p>
    <w:p>
      <w:pPr>
        <w:pStyle w:val="Style3"/>
        <w:widowControl w:val="0"/>
        <w:keepNext w:val="0"/>
        <w:keepLines w:val="0"/>
        <w:shd w:val="clear" w:color="auto" w:fill="auto"/>
        <w:bidi w:val="0"/>
        <w:spacing w:before="0" w:after="0" w:line="322" w:lineRule="exact"/>
        <w:ind w:left="0" w:right="0" w:firstLine="0"/>
      </w:pPr>
      <w:r>
        <w:rPr>
          <w:lang w:val="ru-RU" w:eastAsia="ru-RU" w:bidi="ru-RU"/>
          <w:w w:val="100"/>
          <w:spacing w:val="0"/>
          <w:color w:val="000000"/>
          <w:position w:val="0"/>
        </w:rPr>
        <w:t xml:space="preserve">телефона): </w:t>
      </w:r>
      <w:r>
        <w:rPr>
          <w:lang w:val="en-US" w:eastAsia="en-US" w:bidi="en-US"/>
          <w:w w:val="100"/>
          <w:spacing w:val="0"/>
          <w:color w:val="000000"/>
          <w:position w:val="0"/>
        </w:rPr>
        <w:t xml:space="preserve">Yealink EXP </w:t>
      </w:r>
      <w:r>
        <w:rPr>
          <w:lang w:val="ru-RU" w:eastAsia="ru-RU" w:bidi="ru-RU"/>
          <w:w w:val="100"/>
          <w:spacing w:val="0"/>
          <w:color w:val="000000"/>
          <w:position w:val="0"/>
        </w:rPr>
        <w:t xml:space="preserve">43 и </w:t>
      </w:r>
      <w:r>
        <w:rPr>
          <w:lang w:val="en-US" w:eastAsia="en-US" w:bidi="en-US"/>
          <w:w w:val="100"/>
          <w:spacing w:val="0"/>
          <w:color w:val="000000"/>
          <w:position w:val="0"/>
        </w:rPr>
        <w:t>Polycom VVX EM50;</w:t>
      </w:r>
    </w:p>
    <w:p>
      <w:pPr>
        <w:pStyle w:val="Style3"/>
        <w:numPr>
          <w:ilvl w:val="0"/>
          <w:numId w:val="9"/>
        </w:numPr>
        <w:tabs>
          <w:tab w:leader="none" w:pos="6080" w:val="left"/>
          <w:tab w:leader="none" w:pos="7832" w:val="right"/>
          <w:tab w:leader="none" w:pos="8427" w:val="center"/>
          <w:tab w:leader="none" w:pos="9074" w:val="center"/>
        </w:tabs>
        <w:widowControl w:val="0"/>
        <w:keepNext w:val="0"/>
        <w:keepLines w:val="0"/>
        <w:shd w:val="clear" w:color="auto" w:fill="auto"/>
        <w:bidi w:val="0"/>
        <w:spacing w:before="0" w:after="0" w:line="322" w:lineRule="exact"/>
        <w:ind w:left="0" w:right="0" w:firstLine="560"/>
      </w:pPr>
      <w:r>
        <w:rPr>
          <w:lang w:val="ru-RU" w:eastAsia="ru-RU" w:bidi="ru-RU"/>
          <w:w w:val="100"/>
          <w:spacing w:val="0"/>
          <w:color w:val="000000"/>
          <w:position w:val="0"/>
        </w:rPr>
        <w:t xml:space="preserve"> телефонный аппарат Тип 2/19, Тип 2/59</w:t>
        <w:tab/>
      </w:r>
      <w:r>
        <w:rPr>
          <w:lang w:val="en-US" w:eastAsia="en-US" w:bidi="en-US"/>
          <w:w w:val="100"/>
          <w:spacing w:val="0"/>
          <w:color w:val="000000"/>
          <w:position w:val="0"/>
        </w:rPr>
        <w:t>(IP</w:t>
      </w:r>
      <w:r>
        <w:rPr>
          <w:lang w:val="ru-RU" w:eastAsia="ru-RU" w:bidi="ru-RU"/>
          <w:w w:val="100"/>
          <w:spacing w:val="0"/>
          <w:color w:val="000000"/>
          <w:position w:val="0"/>
        </w:rPr>
        <w:t>-телефон</w:t>
        <w:tab/>
        <w:t>-</w:t>
        <w:tab/>
        <w:t>базовый</w:t>
        <w:tab/>
        <w:t>уровень):</w:t>
      </w:r>
    </w:p>
    <w:p>
      <w:pPr>
        <w:pStyle w:val="Style3"/>
        <w:widowControl w:val="0"/>
        <w:keepNext w:val="0"/>
        <w:keepLines w:val="0"/>
        <w:shd w:val="clear" w:color="auto" w:fill="auto"/>
        <w:bidi w:val="0"/>
        <w:spacing w:before="0" w:after="0" w:line="322" w:lineRule="exact"/>
        <w:ind w:left="0" w:right="0" w:firstLine="0"/>
      </w:pPr>
      <w:r>
        <w:rPr>
          <w:lang w:val="en-US" w:eastAsia="en-US" w:bidi="en-US"/>
          <w:w w:val="100"/>
          <w:spacing w:val="0"/>
          <w:color w:val="000000"/>
          <w:position w:val="0"/>
        </w:rPr>
        <w:t xml:space="preserve">Yealink SIP-T30P </w:t>
      </w:r>
      <w:r>
        <w:rPr>
          <w:lang w:val="ru-RU" w:eastAsia="ru-RU" w:bidi="ru-RU"/>
          <w:w w:val="100"/>
          <w:spacing w:val="0"/>
          <w:color w:val="000000"/>
          <w:position w:val="0"/>
        </w:rPr>
        <w:t xml:space="preserve">и </w:t>
      </w:r>
      <w:r>
        <w:rPr>
          <w:lang w:val="en-US" w:eastAsia="en-US" w:bidi="en-US"/>
          <w:w w:val="100"/>
          <w:spacing w:val="0"/>
          <w:color w:val="000000"/>
          <w:position w:val="0"/>
        </w:rPr>
        <w:t xml:space="preserve">Huawei </w:t>
      </w:r>
      <w:r>
        <w:rPr>
          <w:lang w:val="ru-RU" w:eastAsia="ru-RU" w:bidi="ru-RU"/>
          <w:w w:val="100"/>
          <w:spacing w:val="0"/>
          <w:color w:val="000000"/>
          <w:position w:val="0"/>
        </w:rPr>
        <w:t>7910.</w:t>
      </w:r>
    </w:p>
    <w:p>
      <w:pPr>
        <w:pStyle w:val="Style3"/>
        <w:widowControl w:val="0"/>
        <w:keepNext w:val="0"/>
        <w:keepLines w:val="0"/>
        <w:shd w:val="clear" w:color="auto" w:fill="auto"/>
        <w:bidi w:val="0"/>
        <w:spacing w:before="0" w:after="0" w:line="322" w:lineRule="exact"/>
        <w:ind w:left="0" w:right="20" w:firstLine="560"/>
      </w:pPr>
      <w:r>
        <w:rPr>
          <w:lang w:val="ru-RU" w:eastAsia="ru-RU" w:bidi="ru-RU"/>
          <w:w w:val="100"/>
          <w:spacing w:val="0"/>
          <w:color w:val="000000"/>
          <w:position w:val="0"/>
        </w:rPr>
        <w:t>В подтверждение заявленной позиции представителем Заказчика представлена на обозрение Комиссии Управления сравнительная таблица с характеристиками вышеуказанных товаров, подтверждающая их соответствие требованиям технической части аукционной документации.</w:t>
      </w:r>
    </w:p>
    <w:p>
      <w:pPr>
        <w:pStyle w:val="Style3"/>
        <w:tabs>
          <w:tab w:leader="none" w:pos="3368" w:val="left"/>
        </w:tabs>
        <w:widowControl w:val="0"/>
        <w:keepNext w:val="0"/>
        <w:keepLines w:val="0"/>
        <w:shd w:val="clear" w:color="auto" w:fill="auto"/>
        <w:bidi w:val="0"/>
        <w:spacing w:before="0" w:after="0" w:line="322" w:lineRule="exact"/>
        <w:ind w:left="0" w:right="0" w:firstLine="560"/>
      </w:pPr>
      <w:r>
        <w:rPr>
          <w:lang w:val="ru-RU" w:eastAsia="ru-RU" w:bidi="ru-RU"/>
          <w:w w:val="100"/>
          <w:spacing w:val="0"/>
          <w:color w:val="000000"/>
          <w:position w:val="0"/>
        </w:rPr>
        <w:t>На основании ч.9</w:t>
        <w:tab/>
        <w:t>ст.105 Закона о контрактной системе к жалобе</w:t>
      </w:r>
    </w:p>
    <w:p>
      <w:pPr>
        <w:pStyle w:val="Style3"/>
        <w:widowControl w:val="0"/>
        <w:keepNext w:val="0"/>
        <w:keepLines w:val="0"/>
        <w:shd w:val="clear" w:color="auto" w:fill="auto"/>
        <w:bidi w:val="0"/>
        <w:spacing w:before="0" w:after="0" w:line="322" w:lineRule="exact"/>
        <w:ind w:left="0" w:right="20" w:firstLine="0"/>
      </w:pPr>
      <w:r>
        <w:rPr>
          <w:lang w:val="ru-RU" w:eastAsia="ru-RU" w:bidi="ru-RU"/>
          <w:w w:val="100"/>
          <w:spacing w:val="0"/>
          <w:color w:val="000000"/>
          <w:position w:val="0"/>
        </w:rPr>
        <w:t>прикладываются документы, подтверждающие ее обоснованность. При этом обязанность доказывания нарушения своих прав и законных интересов лежит на подателе жалобы.</w:t>
      </w:r>
    </w:p>
    <w:p>
      <w:pPr>
        <w:pStyle w:val="Style3"/>
        <w:widowControl w:val="0"/>
        <w:keepNext w:val="0"/>
        <w:keepLines w:val="0"/>
        <w:shd w:val="clear" w:color="auto" w:fill="auto"/>
        <w:bidi w:val="0"/>
        <w:spacing w:before="0" w:after="0" w:line="322" w:lineRule="exact"/>
        <w:ind w:left="0" w:right="20" w:firstLine="560"/>
      </w:pPr>
      <w:r>
        <w:rPr>
          <w:lang w:val="ru-RU" w:eastAsia="ru-RU" w:bidi="ru-RU"/>
          <w:w w:val="100"/>
          <w:spacing w:val="0"/>
          <w:color w:val="000000"/>
          <w:position w:val="0"/>
        </w:rPr>
        <w:t xml:space="preserve">Ввиду вышеуказанной нормы обязанность доказывания нарушения своих прав и законных интересов лежит на подателе жалобы. Вместе с тем на заседание Комиссии Управления представителем Заявителя не представлено сведений, подтверждающих обоснованность доводов жалобы, а также однозначно свидетельствующих о том, что продукция иных производителей, так например </w:t>
      </w:r>
      <w:r>
        <w:rPr>
          <w:lang w:val="en-US" w:eastAsia="en-US" w:bidi="en-US"/>
          <w:w w:val="100"/>
          <w:spacing w:val="0"/>
          <w:color w:val="000000"/>
          <w:position w:val="0"/>
        </w:rPr>
        <w:t xml:space="preserve">«Polycom» </w:t>
      </w:r>
      <w:r>
        <w:rPr>
          <w:lang w:val="ru-RU" w:eastAsia="ru-RU" w:bidi="ru-RU"/>
          <w:w w:val="100"/>
          <w:spacing w:val="0"/>
          <w:color w:val="000000"/>
          <w:position w:val="0"/>
        </w:rPr>
        <w:t xml:space="preserve">и </w:t>
      </w:r>
      <w:r>
        <w:rPr>
          <w:lang w:val="en-US" w:eastAsia="en-US" w:bidi="en-US"/>
          <w:w w:val="100"/>
          <w:spacing w:val="0"/>
          <w:color w:val="000000"/>
          <w:position w:val="0"/>
        </w:rPr>
        <w:t xml:space="preserve">«Huawei» </w:t>
      </w:r>
      <w:r>
        <w:rPr>
          <w:lang w:val="ru-RU" w:eastAsia="ru-RU" w:bidi="ru-RU"/>
          <w:w w:val="100"/>
          <w:spacing w:val="0"/>
          <w:color w:val="000000"/>
          <w:position w:val="0"/>
        </w:rPr>
        <w:t>не отвечает совокупности предъявленных требований.</w:t>
      </w:r>
    </w:p>
    <w:p>
      <w:pPr>
        <w:pStyle w:val="Style3"/>
        <w:widowControl w:val="0"/>
        <w:keepNext w:val="0"/>
        <w:keepLines w:val="0"/>
        <w:shd w:val="clear" w:color="auto" w:fill="auto"/>
        <w:bidi w:val="0"/>
        <w:spacing w:before="0" w:after="0" w:line="322" w:lineRule="exact"/>
        <w:ind w:left="0" w:right="20" w:firstLine="560"/>
      </w:pPr>
      <w:r>
        <w:rPr>
          <w:lang w:val="ru-RU" w:eastAsia="ru-RU" w:bidi="ru-RU"/>
          <w:w w:val="100"/>
          <w:spacing w:val="0"/>
          <w:color w:val="000000"/>
          <w:position w:val="0"/>
        </w:rPr>
        <w:t>Таким образом, Комиссия Управления приходит к выводу о том, что указанные доводы жалобы не нашли своего подтверждения и являются необоснованными.</w:t>
      </w:r>
    </w:p>
    <w:p>
      <w:pPr>
        <w:pStyle w:val="Style3"/>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№727/14, Законом о контрактной системе, Комиссия Управления</w:t>
      </w:r>
    </w:p>
    <w:p>
      <w:pPr>
        <w:pStyle w:val="Style5"/>
        <w:widowControl w:val="0"/>
        <w:keepNext w:val="0"/>
        <w:keepLines w:val="0"/>
        <w:shd w:val="clear" w:color="auto" w:fill="auto"/>
        <w:bidi w:val="0"/>
        <w:jc w:val="center"/>
        <w:spacing w:before="0" w:after="0"/>
        <w:ind w:left="20" w:right="0" w:firstLine="0"/>
      </w:pPr>
      <w:r>
        <w:rPr>
          <w:lang w:val="ru-RU" w:eastAsia="ru-RU" w:bidi="ru-RU"/>
          <w:w w:val="100"/>
          <w:spacing w:val="0"/>
          <w:color w:val="000000"/>
          <w:position w:val="0"/>
        </w:rPr>
        <w:t>Р Е Ш И Л А:</w:t>
      </w:r>
    </w:p>
    <w:p>
      <w:pPr>
        <w:pStyle w:val="Style3"/>
        <w:numPr>
          <w:ilvl w:val="0"/>
          <w:numId w:val="11"/>
        </w:numPr>
        <w:widowControl w:val="0"/>
        <w:keepNext w:val="0"/>
        <w:keepLines w:val="0"/>
        <w:shd w:val="clear" w:color="auto" w:fill="auto"/>
        <w:bidi w:val="0"/>
        <w:spacing w:before="0" w:after="0" w:line="322" w:lineRule="exact"/>
        <w:ind w:left="0" w:right="20" w:firstLine="560"/>
      </w:pPr>
      <w:r>
        <w:rPr>
          <w:lang w:val="ru-RU" w:eastAsia="ru-RU" w:bidi="ru-RU"/>
          <w:w w:val="100"/>
          <w:spacing w:val="0"/>
          <w:color w:val="000000"/>
          <w:position w:val="0"/>
        </w:rPr>
        <w:t xml:space="preserve"> Признать жалобу ООО «ФАН Телеком» на действия ФКУ «ЦОКР» необоснованной.</w:t>
      </w:r>
    </w:p>
    <w:p>
      <w:pPr>
        <w:pStyle w:val="Style3"/>
        <w:numPr>
          <w:ilvl w:val="0"/>
          <w:numId w:val="11"/>
        </w:numPr>
        <w:widowControl w:val="0"/>
        <w:keepNext w:val="0"/>
        <w:keepLines w:val="0"/>
        <w:shd w:val="clear" w:color="auto" w:fill="auto"/>
        <w:bidi w:val="0"/>
        <w:spacing w:before="0" w:after="0" w:line="322" w:lineRule="exact"/>
        <w:ind w:left="0" w:right="20" w:firstLine="560"/>
      </w:pPr>
      <w:r>
        <w:rPr>
          <w:lang w:val="ru-RU" w:eastAsia="ru-RU" w:bidi="ru-RU"/>
          <w:w w:val="100"/>
          <w:spacing w:val="0"/>
          <w:color w:val="000000"/>
          <w:position w:val="0"/>
        </w:rPr>
        <w:t xml:space="preserve"> Снять ограничения на определение поставщика (подрядчика, исполнителя) путем проведения аукциона, наложенные письмом Московского УФАС России №ЕИ/5241/21 от 01.02.2021.</w:t>
      </w:r>
    </w:p>
    <w:p>
      <w:pPr>
        <w:pStyle w:val="Style3"/>
        <w:widowControl w:val="0"/>
        <w:keepNext w:val="0"/>
        <w:keepLines w:val="0"/>
        <w:shd w:val="clear" w:color="auto" w:fill="auto"/>
        <w:bidi w:val="0"/>
        <w:spacing w:before="0" w:after="0" w:line="322" w:lineRule="exact"/>
        <w:ind w:left="0" w:right="20" w:firstLine="56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3"/>
        <w:widowControl w:val="0"/>
        <w:keepNext w:val="0"/>
        <w:keepLines w:val="0"/>
        <w:shd w:val="clear" w:color="auto" w:fill="auto"/>
        <w:bidi w:val="0"/>
        <w:spacing w:before="0" w:after="0" w:line="322" w:lineRule="exact"/>
        <w:ind w:left="0" w:right="0" w:firstLine="0"/>
      </w:pPr>
      <w:r>
        <w:rPr>
          <w:lang w:val="ru-RU" w:eastAsia="ru-RU" w:bidi="ru-RU"/>
          <w:w w:val="100"/>
          <w:spacing w:val="0"/>
          <w:color w:val="000000"/>
          <w:position w:val="0"/>
        </w:rPr>
        <w:t>Председательствующий</w:t>
      </w:r>
    </w:p>
    <w:p>
      <w:pPr>
        <w:pStyle w:val="Style3"/>
        <w:tabs>
          <w:tab w:leader="none" w:pos="9077" w:val="right"/>
          <w:tab w:leader="none" w:pos="10149" w:val="right"/>
        </w:tabs>
        <w:widowControl w:val="0"/>
        <w:keepNext w:val="0"/>
        <w:keepLines w:val="0"/>
        <w:shd w:val="clear" w:color="auto" w:fill="auto"/>
        <w:bidi w:val="0"/>
        <w:spacing w:before="0" w:after="0" w:line="322" w:lineRule="exact"/>
        <w:ind w:left="0" w:right="0" w:firstLine="0"/>
      </w:pPr>
      <w:r>
        <w:rPr>
          <w:lang w:val="ru-RU" w:eastAsia="ru-RU" w:bidi="ru-RU"/>
          <w:w w:val="100"/>
          <w:spacing w:val="0"/>
          <w:color w:val="000000"/>
          <w:position w:val="0"/>
        </w:rPr>
        <w:t>Заместитель председателя Комиссии</w:t>
        <w:tab/>
        <w:t>С.И.</w:t>
        <w:tab/>
        <w:t>Казарин</w:t>
      </w:r>
    </w:p>
    <w:p>
      <w:pPr>
        <w:pStyle w:val="Style3"/>
        <w:tabs>
          <w:tab w:leader="none" w:pos="8683" w:val="left"/>
        </w:tabs>
        <w:widowControl w:val="0"/>
        <w:keepNext w:val="0"/>
        <w:keepLines w:val="0"/>
        <w:shd w:val="clear" w:color="auto" w:fill="auto"/>
        <w:bidi w:val="0"/>
        <w:spacing w:before="0" w:after="0" w:line="322" w:lineRule="exact"/>
        <w:ind w:left="0" w:right="0" w:firstLine="0"/>
      </w:pPr>
      <w:r>
        <w:rPr>
          <w:lang w:val="ru-RU" w:eastAsia="ru-RU" w:bidi="ru-RU"/>
          <w:w w:val="100"/>
          <w:spacing w:val="0"/>
          <w:color w:val="000000"/>
          <w:position w:val="0"/>
        </w:rPr>
        <w:t>Заместитель председателя Комиссии</w:t>
        <w:tab/>
        <w:t>К.А. Сомов</w:t>
      </w:r>
    </w:p>
    <w:p>
      <w:pPr>
        <w:pStyle w:val="Style3"/>
        <w:tabs>
          <w:tab w:leader="none" w:pos="8683" w:val="left"/>
        </w:tabs>
        <w:widowControl w:val="0"/>
        <w:keepNext w:val="0"/>
        <w:keepLines w:val="0"/>
        <w:shd w:val="clear" w:color="auto" w:fill="auto"/>
        <w:bidi w:val="0"/>
        <w:spacing w:before="0" w:after="0" w:line="322" w:lineRule="exact"/>
        <w:ind w:left="0" w:right="0" w:firstLine="0"/>
      </w:pPr>
      <w:r>
        <w:rPr>
          <w:lang w:val="ru-RU" w:eastAsia="ru-RU" w:bidi="ru-RU"/>
          <w:w w:val="100"/>
          <w:spacing w:val="0"/>
          <w:color w:val="000000"/>
          <w:position w:val="0"/>
        </w:rPr>
        <w:t>Член Комиссии</w:t>
        <w:tab/>
        <w:t>Н.А. Узкий</w:t>
      </w:r>
    </w:p>
    <w:p>
      <w:pPr>
        <w:pStyle w:val="Style12"/>
        <w:widowControl w:val="0"/>
        <w:keepNext w:val="0"/>
        <w:keepLines w:val="0"/>
        <w:shd w:val="clear" w:color="auto" w:fill="auto"/>
        <w:bidi w:val="0"/>
        <w:spacing w:before="0" w:after="0" w:line="180" w:lineRule="exact"/>
        <w:ind w:left="0" w:right="0" w:firstLine="0"/>
      </w:pPr>
      <w:r>
        <w:rPr>
          <w:lang w:val="ru-RU" w:eastAsia="ru-RU" w:bidi="ru-RU"/>
          <w:w w:val="100"/>
          <w:spacing w:val="0"/>
          <w:color w:val="000000"/>
          <w:position w:val="0"/>
        </w:rPr>
        <w:t>Исп. Сомов К.А. 8(495)784-75-05 (077-143)</w:t>
      </w:r>
    </w:p>
    <w:sectPr>
      <w:footnotePr>
        <w:pos w:val="pageBottom"/>
        <w:numFmt w:val="decimal"/>
        <w:numRestart w:val="continuous"/>
      </w:footnotePr>
      <w:type w:val="continuous"/>
      <w:pgSz w:w="11906" w:h="16838"/>
      <w:pgMar w:top="1195" w:left="852" w:right="850" w:bottom="139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04.02.%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021"/>
      <w:numFmt w:val="decimal"/>
      <w:lvlText w:val="21.0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26"/>
      <w:szCs w:val="26"/>
      <w:rFonts w:ascii="Times New Roman" w:eastAsia="Times New Roman" w:hAnsi="Times New Roman" w:cs="Times New Roman"/>
    </w:rPr>
  </w:style>
  <w:style w:type="character" w:customStyle="1" w:styleId="CharStyle8">
    <w:name w:val="Штрих-код (2)_"/>
    <w:basedOn w:val="DefaultParagraphFont"/>
    <w:link w:val="Style7"/>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w:basedOn w:val="CharStyle4"/>
    <w:rPr>
      <w:lang w:val="ru-RU" w:eastAsia="ru-RU" w:bidi="ru-RU"/>
      <w:u w:val="single"/>
      <w:w w:val="100"/>
      <w:spacing w:val="0"/>
      <w:color w:val="000000"/>
      <w:position w:val="0"/>
    </w:rPr>
  </w:style>
  <w:style w:type="character" w:customStyle="1" w:styleId="CharStyle13">
    <w:name w:val="Основной текст (3)_"/>
    <w:basedOn w:val="DefaultParagraphFont"/>
    <w:link w:val="Style12"/>
    <w:rPr>
      <w:b/>
      <w:bCs/>
      <w:i w:val="0"/>
      <w:iCs w:val="0"/>
      <w:u w:val="none"/>
      <w:strike w:val="0"/>
      <w:smallCaps w:val="0"/>
      <w:sz w:val="18"/>
      <w:szCs w:val="18"/>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jc w:val="both"/>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spacing w:before="11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7">
    <w:name w:val="Штрих-код (2)"/>
    <w:basedOn w:val="Normal"/>
    <w:link w:val="CharStyle8"/>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center"/>
      <w:outlineLvl w:val="0"/>
      <w:spacing w:before="3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both"/>
      <w:spacing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