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7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 (ФАС России)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rStyle w:val="CharStyle11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0" w:line="29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Краевое государственное профессиональное образовательное учреждение «Камчатский индустриальный техникум» ул. Школьная, д. 3 «а», Вилючинский городской округ ЗАТО г. Вилючинск, Камчатский край, 684090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rStyle w:val="CharStyle11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08" w:left="1249" w:right="1915" w:bottom="1694" w:header="0" w:footer="3" w:gutter="0"/>
          <w:rtlGutter w:val="0"/>
          <w:cols w:num="2" w:space="31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«Джули» ул. Чапаева, стр. 14, корп. 3, часть пом. 19. г. Екатеринбург, Свердловская область, 620063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61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041/06/64-32/2021</w:t>
      </w:r>
    </w:p>
    <w:p>
      <w:pPr>
        <w:pStyle w:val="Style9"/>
        <w:tabs>
          <w:tab w:leader="none" w:pos="59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1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 февраля 2021 г.</w:t>
        <w:tab/>
        <w:t>г. Петропавловск-Камчатский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государственного инспектора отдела антимонопольного контроля и закупок Шихановой Л.Б.,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Романовой В.П.,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представителей заказчика - краевого государственного профессионального образовательного учреждения «Камчатский индустриальный техникум» (далее - Заказчик; Техникум): директора Маловой Н.В. (на основании приказа от 08.11.2016 № 85/л), Малыш С.Н. (по доверенности от 12.01.2021 № 05), Грицюка И.И. (по доверенности от 12.01.2021 № 06),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0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заявителя - общества с ограниченной ответственностью «Джули» (далее - Заявитель), уведомленного о месте и времени рассмотрения жалобы по адресу электронной почты, рассмотрев посредством видеоконференцсвязи жалобу Заявителя на действия Заказчика при определении подрядчика путем электронного аукциона (далее - ЭА) на выполнение работ по капитальному ремонту «сейсмоусиление здания производственных мастерских КГПОБУ «Камчатский индустриальный техникум» (далее - Работы) (извещение № 0338200000221000001),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257" w:line="220" w:lineRule="exact"/>
        <w:ind w:left="32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УСТАНОВИЛА: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начата процедура определения подрядчика путем ЭА на выполнение Работ (закупка № 0338200000221000001) (далее - Закупка).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4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и документация о Закупке размещены на официальном сайте единой информационной системы (далее - ЕИС) 21.01.2021; изменения извещения и документации об ЭА размещены 22.01.2021; начальная (максимальная) цена контракта установлена в размере 32 694 530,00 руб.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01.02.2021 в Камчатское УФАС России поступила жалоба Заявителя на действия Заказчика при разработке документации об ЭА.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92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 Заказчик не разместил в составе документации об ЭА проект сметы контракта в соответствии со статьей 110.2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58" w:line="23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письме от 04.02.2021 № 28 с доводами жалобы не согласился.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Предметом Закупки является выполнение работ по капитальному ремонту «сейсмоусиление здания производственных мастерских КГПОБУ «Камчатский индустриальный техникум».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Извещением и документацией об ЭА установлено ограничение участия в Закупке, в соответствии с которым участник Закупки должен быть членом саморегулируемой организации в области строительства, реконструкции, капитального ремонта объектов капитального строительства.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 официального сайта «Единый реестр членов СРО», информация о Заявителе в указанном реестре отсутствует.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Поскольку Заявитель не может быть участником Закупки, положения документации о Закупке не нару шают его права и законные интересы.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37" w:line="295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доводы Заявителя являются необоснованными.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40" w:line="299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осуществления в соответствии с пунктом 1 части 15 статьи 99 Закона о контрактной системе внеплановой проверки Комиссия выявила следующие обстоятельства.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Статья 110.2 Закона о контрактной системе контракт содержит положения об особенностях заключения и исполнения контрактов, предметом которых является подготовка проектной документации и (или) выполнение инженерных изысканий,</w:t>
        <w:br w:type="page"/>
        <w:t>и контрактов, предметом которых являются строительство, реконструкция объектов капитального строительства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Предметом Закупки является выполнение работ по капитальному ремонту «сейсмоусиление здания производственных мастерских КГПОБУ «Камчатский индустриальный техникум».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34" w:line="295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действие вышеуказанной статьи на данную Закупку не распространяется.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06" w:line="30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727/14,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12" w:line="22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40"/>
        <w:sectPr>
          <w:type w:val="continuous"/>
          <w:pgSz w:w="11906" w:h="16838"/>
          <w:pgMar w:top="980" w:left="1260" w:right="1264" w:bottom="155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необоснованной.</w:t>
      </w: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34" w:wrap="around" w:vAnchor="text" w:hAnchor="margin" w:x="-3732" w:y="14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16"/>
          <w:spacing w:val="0"/>
        </w:rPr>
        <w:t>Председатель Комиссии:</w:t>
      </w:r>
    </w:p>
    <w:p>
      <w:pPr>
        <w:pStyle w:val="Style9"/>
        <w:framePr w:h="220" w:wrap="around" w:vAnchor="text" w:hAnchor="margin" w:x="-3732" w:y="75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16"/>
          <w:spacing w:val="0"/>
        </w:rPr>
        <w:t>Члены комиссии:</w:t>
      </w:r>
    </w:p>
    <w:p>
      <w:pPr>
        <w:pStyle w:val="Style9"/>
        <w:tabs>
          <w:tab w:leader="none" w:pos="2207" w:val="right"/>
          <w:tab w:leader="none" w:pos="2819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598" w:lineRule="exact"/>
        <w:ind w:left="0" w:right="760" w:firstLine="0"/>
      </w:pPr>
      <w:r>
        <w:rPr>
          <w:rStyle w:val="CharStyle17"/>
        </w:rPr>
        <w:t>Х^)</w:t>
      </w:r>
      <w:r>
        <w:rPr>
          <w:rStyle w:val="CharStyle18"/>
        </w:rPr>
        <w:t>С.Н.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Парфирьева Л.Б. Шиханова </w:t>
      </w:r>
      <w:r>
        <w:rPr>
          <w:rStyle w:val="CharStyle19"/>
        </w:rPr>
        <w:t xml:space="preserve">/ </w:t>
      </w:r>
      <w:r>
        <w:rPr>
          <w:rStyle w:val="CharStyle20"/>
        </w:rPr>
        <w:t>a!</w:t>
      </w:r>
      <w:r>
        <w:rPr>
          <w:rStyle w:val="CharStyle19"/>
          <w:lang w:val="en-US" w:eastAsia="en-US" w:bidi="en-US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В.Н.</w:t>
        <w:tab/>
        <w:t>Романова</w:t>
      </w:r>
    </w:p>
    <w:sectPr>
      <w:type w:val="continuous"/>
      <w:pgSz w:w="11906" w:h="16838"/>
      <w:pgMar w:top="4658" w:left="6401" w:right="1141" w:bottom="534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5">
    <w:name w:val="Заголовок №2_"/>
    <w:basedOn w:val="DefaultParagraphFont"/>
    <w:link w:val="Style14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7">
    <w:name w:val="Основной текст + Интервал 11 pt"/>
    <w:basedOn w:val="CharStyle10"/>
    <w:rPr>
      <w:lang w:val="ru-RU" w:eastAsia="ru-RU" w:bidi="ru-RU"/>
      <w:w w:val="100"/>
      <w:spacing w:val="220"/>
      <w:color w:val="000000"/>
      <w:position w:val="0"/>
    </w:rPr>
  </w:style>
  <w:style w:type="character" w:customStyle="1" w:styleId="CharStyle18">
    <w:name w:val="Основной текст + Интервал 11 pt"/>
    <w:basedOn w:val="CharStyle10"/>
    <w:rPr>
      <w:lang w:val="ru-RU" w:eastAsia="ru-RU" w:bidi="ru-RU"/>
      <w:w w:val="100"/>
      <w:spacing w:val="220"/>
      <w:color w:val="000000"/>
      <w:position w:val="0"/>
    </w:rPr>
  </w:style>
  <w:style w:type="character" w:customStyle="1" w:styleId="CharStyle19">
    <w:name w:val="Основной текст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+ Малые прописные"/>
    <w:basedOn w:val="CharStyle10"/>
    <w:rPr>
      <w:lang w:val="en-US" w:eastAsia="en-US" w:bidi="en-US"/>
      <w:smallCap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80" w:line="32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line="25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FFFFFF"/>
      <w:jc w:val="center"/>
      <w:outlineLvl w:val="1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