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878" w:left="1240" w:right="6460" w:bottom="187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line="35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6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(ФАС России)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15"/>
        <w:ind w:left="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57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9" w:line="340" w:lineRule="exact"/>
        <w:ind w:left="0" w:right="460" w:firstLine="0"/>
      </w:pPr>
      <w:bookmarkStart w:id="1" w:name="bookmark1"/>
      <w:r>
        <w:rPr>
          <w:rStyle w:val="CharStyle11"/>
          <w:b w:val="0"/>
          <w:bCs w:val="0"/>
          <w:i w:val="0"/>
          <w:iCs w:val="0"/>
        </w:rPr>
        <w:t xml:space="preserve">№ </w:t>
      </w:r>
      <w:r>
        <w:rPr>
          <w:rStyle w:val="CharStyle12"/>
          <w:b/>
          <w:bCs/>
          <w:i/>
          <w:iCs/>
        </w:rPr>
        <w:t>Л 6</w:t>
      </w:r>
      <w:bookmarkEnd w:id="1"/>
    </w:p>
    <w:p>
      <w:pPr>
        <w:pStyle w:val="Style7"/>
        <w:tabs>
          <w:tab w:leader="none" w:pos="210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5"/>
        </w:rPr>
        <w:t>Заказчик: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  <w:sectPr>
          <w:type w:val="continuous"/>
          <w:pgSz w:w="11906" w:h="16838"/>
          <w:pgMar w:top="1878" w:left="1283" w:right="1935" w:bottom="1878" w:header="0" w:footer="3" w:gutter="0"/>
          <w:rtlGutter w:val="0"/>
          <w:cols w:num="2" w:space="720" w:equalWidth="0">
            <w:col w:w="3809" w:space="670"/>
            <w:col w:w="420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Краевое государственное профессиональное образовательное учреждение «Камчатский индустриальный техникум» ул. Школьная, д. 3 «а», Вилючинский городской округ ЗАТО г. Вилючинск, Камчатский край, 684090</w:t>
      </w:r>
    </w:p>
    <w:p>
      <w:pPr>
        <w:widowControl w:val="0"/>
        <w:spacing w:line="138" w:lineRule="exact"/>
        <w:rPr>
          <w:sz w:val="11"/>
          <w:szCs w:val="11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480" w:right="0" w:firstLine="0"/>
      </w:pPr>
      <w:r>
        <w:rPr>
          <w:rStyle w:val="CharStyle15"/>
        </w:rPr>
        <w:t>Заявитель: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03" w:line="302" w:lineRule="exact"/>
        <w:ind w:left="4480" w:right="8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«Контракт» пер. Вишневый, д. 85 «б», пом. 12, г. Сочи, Краснодарский край, 354003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80" w:right="0" w:firstLine="0"/>
      </w:pPr>
      <w:r>
        <w:rPr>
          <w:rStyle w:val="CharStyle15"/>
        </w:rPr>
        <w:t>Оператор электронной площадки: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47"/>
        <w:ind w:left="4480" w:right="8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АО «Сбербанк-АСТ» </w:t>
      </w:r>
      <w:r>
        <w:fldChar w:fldCharType="begin"/>
      </w:r>
      <w:r>
        <w:rPr>
          <w:rStyle w:val="CharStyle15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</w:rPr>
        <w:t>ko@sberbank-ast.ru</w:t>
      </w:r>
      <w:r>
        <w:fldChar w:fldCharType="end"/>
      </w:r>
    </w:p>
    <w:p>
      <w:pPr>
        <w:pStyle w:val="Style16"/>
        <w:widowControl w:val="0"/>
        <w:keepNext/>
        <w:keepLines/>
        <w:shd w:val="clear" w:color="auto" w:fill="auto"/>
        <w:bidi w:val="0"/>
        <w:spacing w:before="0" w:after="8" w:line="240" w:lineRule="exact"/>
        <w:ind w:left="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</w:t>
      </w:r>
      <w:bookmarkEnd w:id="2"/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26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041/06/64-33/2021</w:t>
      </w:r>
    </w:p>
    <w:p>
      <w:pPr>
        <w:pStyle w:val="Style13"/>
        <w:tabs>
          <w:tab w:leader="none" w:pos="6061" w:val="center"/>
          <w:tab w:leader="none" w:pos="930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6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 февраля 2021 г.</w:t>
        <w:tab/>
        <w:t>г.</w:t>
        <w:tab/>
        <w:t>Петропавловск-Камчатский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(далее - Комиссия) в составе: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начальника отдела антимонопольного контроля и закупок Парфирьевой С.Н., членов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государственного инспектора отдела антимонопольного контроля и закупок Шихановой Л.Б.,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антимонопольного контроля и закупок Романовой В.Н.,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представителей заказчика - краевого государственного профессионального образовательного учреждения «Камчатский индустриальный техникум» (далее - Заказчик; Техникум): директора Маловой Н.В. (на основании приказа от 08.1 1.2016 № 85/л), Малыш С.Н. (по доверенности от 12.01.2021 № 05), Грицюка И.И. (по доверенности от 12.01.2021 № 06),</w:t>
        <w:br w:type="page"/>
        <w:t>в отсутствие заявителя - общества с ограниченной ответственностью «Контракт» (далее - Заявитель), уведомленного о месте и времени рассмотрения жалобы по адресу электронной почты,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95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посредством видеоконференцсвязи жалобу Заявителя на действия Заказчика при определении подрядчика путем электронного аукциона (далее - ЭА) на выполнение работ по капитальному ремонту «сейсмоусиление здания производственных мастерских КГПОБУ «Камчатский индустриальный техникум» (далее - Работы) (извещение № 0338200000221000001),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265" w:line="230" w:lineRule="exact"/>
        <w:ind w:left="30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3"/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начата процедура определения подрядчика путем ЭА на выполнение Работ (закупка № 0338200000221000001) (далее - Закупка).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4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и документация о Закупке размещены на официальном сайте единой информационной системы (далее - ЕИС) 21.01.2021; изменения извещения и документации об ЭА размещены 22.01.2021; начальная (максимальная) цена контракта установлена в размере 32 694 530,00 руб.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01.02.2021 в Камчатское УФАС России поступила жалоба Заявителя на действия Заказчика при разработке документации об ЭА.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Заявителя: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извещении и документации о Закупке не указаны даты предоставления разъяснений положений документации;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извещение не содержит требования, предусмотренного частью 1.1 статьи 31 Закона о контрактной системе предъявляемого к участникам ЭА, и не содержит исчерпывающего перечня документов, которые должны быть представлены участниками ЭА в соответствии со статьей 31 Закона о контрактной системе;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 незаконно потребовгш предоставления во второй части заявки декларации об отсутствии участника Закупки в реестре недобросовестных поставщиков;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 незаконно потребовал предоставления во второй части заявки документов, подтверждающих опыт работ в соответствии с Постановлением Правительства Российской Федерации от 04.02.2015 № 99;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 указал разные идентификационные коды Закупки (далее - ИКЗ) в извещении и документации об ЭА;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5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проекте контракта отсутствует обязательное условие, предусмотренное пунктом 2 части 13 статьи 34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71" w:line="23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в письме от 04.02.2021 № 28 с доводами жалобы не согласился.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Предметом Закупки является выполнение работ по капитальному ремонту «сейсмоусиление здания производственных мастерских КГПОБУ «Камчатский индустриальный техникум».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Извещением и документацией об ЭА установлено ограничение участия в Закупке, в соответствии с которым участник Закупки должен быть членом саморегулируемой организации в области строительства, реконструкции, капитального ремонта объектов капитального строительства.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сведениям официального сайта «Единый реестр членов СРО», информация о Заявителе в указанном реестре отсутствует.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Поскольку Заявитель не может быть участником Закупки, положения документации о Закупке не нарушают его права и законные интересы.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доводы Заявителя являются необоснованными.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осуществления в соответствии с пунктом 1 части 15 статьи 99 Закона о контрактной системе внеплановой проверки Комиссия выявила следующие обстоятельства.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основании пункта 11 части 1 статьи 64 Закона о контрактной системе документация об ЭА наряду с информацией, указанной в извещении о проведении ЭА, должна содержать информацию о порядке, датах начала и окончания срока предоставления участникам ЭА разъяснений положений документации об ЭА.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документации об ЭА информация о датах начала и окончания срока предоставления участникам ЭА разъяснений положений документации об ЭА не содержится, </w:t>
      </w:r>
      <w:r>
        <w:rPr>
          <w:rStyle w:val="CharStyle20"/>
        </w:rPr>
        <w:t>в нарушение пункта 11 части 1 статьи 64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3" w:line="30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Указанное нарушение не повлияло на результат определения подрядчика, в связи с чем основания для выдачи предписания отсутствуют.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соответствии с частью 1 статьи 64 Закона о контрактной системе документация об ЭА должна содержать информацию, указанную в извещении о проведении ЭА.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части 3 статьи 64 Закона о контрактной системе документация об ЭА наряду с предусмотренной частью 1 данной статьи информацией содержит требования к участникам ЭА, установленные в соответствии с частью 1, частями</w:t>
      </w:r>
    </w:p>
    <w:p>
      <w:pPr>
        <w:pStyle w:val="Style13"/>
        <w:numPr>
          <w:ilvl w:val="0"/>
          <w:numId w:val="5"/>
        </w:numPr>
        <w:tabs>
          <w:tab w:leader="none" w:pos="5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и 2.1 (при наличии таких требований) статьи 31 данного Федерального закона.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Пунктом 6 части 5 статьи 63 Закона о контрактной системе установлено, что в извещении о проведении ЭА указываются требования, предъявляемые к участникам ЭА, </w:t>
      </w:r>
      <w:r>
        <w:rPr>
          <w:rStyle w:val="CharStyle21"/>
        </w:rPr>
        <w:t>и исчерпывающий перечень документов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которые должны быть представлены участниками ЭА </w:t>
      </w:r>
      <w:r>
        <w:rPr>
          <w:rStyle w:val="CharStyle21"/>
        </w:rPr>
        <w:t>в соответствии с пунктом 1 части 1, частями 2 и 2.1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(при наличии таких требований) </w:t>
      </w:r>
      <w:r>
        <w:rPr>
          <w:rStyle w:val="CharStyle21"/>
        </w:rPr>
        <w:t>статьи 31 данного Федерального закона,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 также требование, предъявляемое к участникам ЭА в соответствии с частью 1.1 (при наличии такого требования) статьи 3 I данного Федерального закона.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1 части 1 статьи 31 Закона о контрактной системе установлено, что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1.1 статьи 31 Закона о контрактной системе установлено, что заказчик вправе установить требование об отсутствии в предусмотренном данным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43" w:line="30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Федеральным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</w:r>
    </w:p>
    <w:p>
      <w:pPr>
        <w:pStyle w:val="Style13"/>
        <w:numPr>
          <w:ilvl w:val="0"/>
          <w:numId w:val="7"/>
        </w:numPr>
        <w:tabs>
          <w:tab w:leader="none" w:pos="644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Подпунктом </w:t>
      </w:r>
      <w:r>
        <w:rPr>
          <w:rStyle w:val="CharStyle20"/>
        </w:rPr>
        <w:t xml:space="preserve">10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пункта 11 информационной карты документации об ЭА установлено, что участник Закупки должен соответствовать требованиям, установленным в соответствии с законодательством Российской Федерации к лицам, осуществляющим выполнение Работ:</w:t>
        <w:tab/>
        <w:t>отсутствие в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извещении о проведении ЭА данное требование отсутствует.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37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информация в извещении об отсутствии участника Закупки в реестре недобросовестных поставщиков (подрядчиков, исполнителей) не соответствует информации, указанной в документации об ЭА, </w:t>
      </w:r>
      <w:r>
        <w:rPr>
          <w:rStyle w:val="CharStyle20"/>
        </w:rPr>
        <w:t>в нарушение части 1 статьи 64 Закона о контрактной системе.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документации об ЭА установлены требования к участникам Закупки в соответствии с пунктом 1 части 1, частью 2 статьи 31 Закона о контрактной системе, а также перечень документов, подтверждающих соответствие участников Закупки указанным требованиям.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извещении о проведении ЭА не указан исчерпывающий перечень документов, которые должны быть представлены участниками ЭА в соответствии с пунктом 1 части 1, частью 2 статьи 31 Закона о контрактной системе, </w:t>
      </w:r>
      <w:r>
        <w:rPr>
          <w:rStyle w:val="CharStyle20"/>
        </w:rPr>
        <w:t>в нарушение пункта 6 части 5 статьи 63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Указанное нарушение не повлияло на результат определения подрядчика, в связи с чем основания для выдачи предписания отсутствуют.</w:t>
      </w:r>
    </w:p>
    <w:p>
      <w:pPr>
        <w:pStyle w:val="Style13"/>
        <w:numPr>
          <w:ilvl w:val="0"/>
          <w:numId w:val="3"/>
        </w:numPr>
        <w:tabs>
          <w:tab w:leader="none" w:pos="9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Пунктом 2 части 5 статьи 66 установлено, что вторая часть заявки на участие в ЭА должна содержать документы, подтверждающие соответствие участника ЭА требованиям, установленным пунктом 1 части 1 статьи 31 данного Федерального закона, или копии этих документов, а также </w:t>
      </w:r>
      <w:r>
        <w:rPr>
          <w:rStyle w:val="CharStyle21"/>
        </w:rPr>
        <w:t>декларация о соответствии участника ЭА требованиям, установленным пунктами 3-9 части 1 статьи 31 данного Федерального закона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(указанная декларация предоставляется с использованием программно-аппаратных средств электронной площадки).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46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6 статьи 66 Закона о контрактной системе, не допускается требовать от участника ЭА предоставления иных документов и информации, за исключением предусмотренных частями 3 или 3.1 и 5 данной статьи документов и информации.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подпункте 3 пункта 4.2 информационной карты документации об ЭА указано, что вторая часть заявки на участие в ЭА должна содержать декларацию о соответствии участника Закупки требованиям, установленным пунктами 2-7, 10, 11 части 11 документации об ЭА.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Подпунктом 10 пункта 11 информационной карты документации об ЭА установлено, что участник Закупки должен отсутствовать в реестре недобросовестных поставщиков (подрядчиков, исполнителей). Данное требование установлено в соответствии с частью 1.1 статьи 31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Заказчик неправомерно потребовал от участников Закупки предоставления во второй части заявки декларации о соответствии требованиям, установленным в соответствии с частью 1.1 статьи 31 Закона о контрактной системе (об отсутствии в реестре недобросовестных поставщиков (подрядчиков, исполнителей), </w:t>
      </w:r>
      <w:r>
        <w:rPr>
          <w:rStyle w:val="CharStyle20"/>
        </w:rPr>
        <w:t>в нарушение части 6 статьи 66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43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Указанное нарушение не повлияло на результат определения подрядчика, в связи с чем основания для выдачи предписания отсутствуют.</w:t>
      </w:r>
    </w:p>
    <w:p>
      <w:pPr>
        <w:pStyle w:val="Style13"/>
        <w:numPr>
          <w:ilvl w:val="0"/>
          <w:numId w:val="3"/>
        </w:numPr>
        <w:tabs>
          <w:tab w:leader="none" w:pos="10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Исчерпывающий перечень документов и информации, которые должны содержаться во второй части заявки, установлены частью 5 статьи 66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46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8.2 статьи 66 Закона о контрактной системе, электронные документы (их копии), подтверждающие соответствие участника ЭА дополнительным требованиям, установленным в соответствии с частями 2 и 2.1 статьи 31 данного Федерального закона, не включаются участником такого аукциона в состав второй части заявки. Такие документы (их копии) направляются заказчику оператором электронной площадки с использованием программно</w:t>
        <w:softHyphen/>
        <w:t>аппаратных средств такой площадки в соответствии с частью 19 статьи 68 данного Федерального закона одновременно со вторыми частями заявок на участие в таком аукционе из числа документов (их копий), размещенных в соответствии с частью 13 статьи 24.2 данного Федерального закона в реестре участников закупок, аккредитованных на электронной площадке.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Извещением о проведении ЭА установлено дополнительное требование к участникам Закупки в соответствии с частью 2 статьи 31 Закона о контрактной системе о наличии опыта работы, связанного с предметом контракта.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 4.3 информационной карты документации об ЭА содержит перечень информации и документов, направляемых заказчику оператором электронной площадки при рассмотрении вторых частей заявок, в том числе, копию исполненного контракта (договора) на выполнение работ по строительству, реконструкции объекта капитального строительства, либо контракта (договора), сведения о котором содержаться в реестре контрактов заключенных заказчиками в соответствии с Законом о контрактной системе на выполнения работ по капитальному ремонту объекта капитального строительства; копия акта выполненных работ, содержащего все обязательные реквизиты, установленные частью 2 статьи 9 Федерального закона «О бухгалтерском учете», и подтверждающего стоимость исполненного контракта (договора). Указанный документ (документы) должен быть подписан (подписаны) не ранее чем за 5 лет до даты окончания срока подачи заявок на участие в закупке.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Требование о предоставлении данных документов в составе второй части заявки не установлены.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требования Заказчика к содержанию второй части заявки не противоречат части 5 статьи 66 Закона о контрактной системе.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26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Согласно части 1 статьи 23 Закона о контрактной системе идентификационный код закупки указывается в плане закупок, плане-графике, извещении об осуществлении закупки, приглашении принять участие в определении поставщика (подрядчика, исполнителя), осуществляемом закрытым способом, документации о закупке, в контракте, а также в иных документах, предусмотренных данным Федеральным законом.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извещении о проведении ЭА указан ИКЗ 212410200110641020100100070014120244.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документации об ЭА и проекте контракта указан ИКЗ 212410200110641020100100070004120244.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31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тем, что часть 1 статьи 23 Закона о контрактной системе содержит требование об указании ИКЗ непосредственно в контракте, указание ИКЗ в проекте контракта, отличного от ИКЗ в извещении, не противоречит части 1 данной статьи, поскольку законодательство о контрактной системе не содержит запрет о внесении в данной части изменений в контракт.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соответствии с частью 4 статьи 64 Закона о контрактной системе, проект контракта является неотъемлемой частью документации об ЭА.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содержанию проекта контракта установлены статьей 34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13 статьи 34 Закона о контрактной системе в контракт включаются обязательные условия об уменьшении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6" w:line="310" w:lineRule="exact"/>
        <w:ind w:left="20" w:right="20" w:firstLine="700"/>
      </w:pPr>
      <w:r>
        <w:rPr>
          <w:rStyle w:val="CharStyle22"/>
          <w:b w:val="0"/>
          <w:bCs w:val="0"/>
        </w:rPr>
        <w:t xml:space="preserve">В проекте контракта вышеуказанное требование отсутствует,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нарушение пункта 2 части 13 статьи 34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43" w:line="302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Выявленные нарушения Закона о контрактной системе содержит признаки состава административного правонарушения, ответственность за совершение которых предусмотрена частью 4.2 статьи 7.30 Кодекса Российской Федерации об административных правонарушениях.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95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руководствуясь частью 8 статьи 106 Закона о контрактной системе и Административным регламентом, утвержденным приказом ФАС России от 19.11.2014 № 727/14. Комиссия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9" w:line="230" w:lineRule="exact"/>
        <w:ind w:left="0" w:right="0" w:firstLine="0"/>
      </w:pPr>
      <w:bookmarkStart w:id="4" w:name="bookmark4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4"/>
    </w:p>
    <w:p>
      <w:pPr>
        <w:pStyle w:val="Style1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необоснованной.</w:t>
      </w:r>
    </w:p>
    <w:p>
      <w:pPr>
        <w:pStyle w:val="Style1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нарушения пункта 2 части 13 статьи 34, пункта 6 части 5 статьи 63, части 1 статьи 64, части 6 статьи 66 Закона о контрактной системе.</w:t>
      </w:r>
    </w:p>
    <w:p>
      <w:pPr>
        <w:pStyle w:val="Style1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предписание об устранении нарушения пункта 2 части 13 статьи 34 Закона о контрактной системе.</w:t>
      </w:r>
    </w:p>
    <w:p>
      <w:pPr>
        <w:pStyle w:val="Style1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560"/>
        <w:sectPr>
          <w:type w:val="continuous"/>
          <w:pgSz w:w="11906" w:h="16838"/>
          <w:pgMar w:top="1530" w:left="1840" w:right="666" w:bottom="96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о выявленных нарушениях должностному лицу, уполномоченному рассматривать дела об административных правонарушениях, для рассмотрения вопроса о возбуждении административного производства в отношении должностного лица Заказчика.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06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590" w:left="2688" w:right="6047" w:bottom="1094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  <w:r>
        <w:br w:type="page"/>
      </w:r>
    </w:p>
    <w:p>
      <w:pPr>
        <w:widowControl w:val="0"/>
        <w:spacing w:line="145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sectPr>
      <w:type w:val="continuous"/>
      <w:pgSz w:w="11906" w:h="16838"/>
      <w:pgMar w:top="590" w:left="5928" w:right="2051" w:bottom="1094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1.%1,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2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Заголовок №2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/>
      <w:iCs/>
      <w:u w:val="none"/>
      <w:strike w:val="0"/>
      <w:smallCaps w:val="0"/>
      <w:sz w:val="34"/>
      <w:szCs w:val="34"/>
      <w:rFonts w:ascii="Tahoma" w:eastAsia="Tahoma" w:hAnsi="Tahoma" w:cs="Tahoma"/>
    </w:rPr>
  </w:style>
  <w:style w:type="character" w:customStyle="1" w:styleId="CharStyle11">
    <w:name w:val="Заголовок №1 + Times New Roman,11,5 pt,Не полужирный,Не курсив"/>
    <w:basedOn w:val="CharStyle10"/>
    <w:rPr>
      <w:lang w:val="ru-RU" w:eastAsia="ru-RU" w:bidi="ru-RU"/>
      <w:b/>
      <w:bCs/>
      <w:i/>
      <w:iCs/>
      <w:sz w:val="23"/>
      <w:szCs w:val="23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2">
    <w:name w:val="Заголовок №1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Заголовок №3 (2)_"/>
    <w:basedOn w:val="DefaultParagraphFont"/>
    <w:link w:val="Style1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9">
    <w:name w:val="Заголовок №3_"/>
    <w:basedOn w:val="DefaultParagraphFont"/>
    <w:link w:val="Style1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0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1">
    <w:name w:val="Основной текст + Курсив"/>
    <w:basedOn w:val="CharStyle1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2">
    <w:name w:val="Основной текст (2) + Не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FFFFFF"/>
      <w:jc w:val="center"/>
      <w:outlineLvl w:val="1"/>
      <w:spacing w:before="240" w:after="60" w:line="32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5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right"/>
      <w:outlineLvl w:val="0"/>
      <w:spacing w:before="60" w:after="60" w:line="0" w:lineRule="exact"/>
    </w:pPr>
    <w:rPr>
      <w:b/>
      <w:bCs/>
      <w:i/>
      <w:iCs/>
      <w:u w:val="none"/>
      <w:strike w:val="0"/>
      <w:smallCaps w:val="0"/>
      <w:sz w:val="34"/>
      <w:szCs w:val="34"/>
      <w:rFonts w:ascii="Tahoma" w:eastAsia="Tahoma" w:hAnsi="Tahoma" w:cs="Tahoma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line="29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Заголовок №3 (2)"/>
    <w:basedOn w:val="Normal"/>
    <w:link w:val="CharStyle17"/>
    <w:pPr>
      <w:widowControl w:val="0"/>
      <w:shd w:val="clear" w:color="auto" w:fill="FFFFFF"/>
      <w:jc w:val="center"/>
      <w:outlineLvl w:val="2"/>
      <w:spacing w:before="30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18">
    <w:name w:val="Заголовок №3"/>
    <w:basedOn w:val="Normal"/>
    <w:link w:val="CharStyle19"/>
    <w:pPr>
      <w:widowControl w:val="0"/>
      <w:shd w:val="clear" w:color="auto" w:fill="FFFFFF"/>
      <w:jc w:val="center"/>
      <w:outlineLvl w:val="2"/>
      <w:spacing w:before="240" w:after="3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