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ГКУ «Дирекция ЖКХиБ СЗАО»</w:t>
      </w:r>
    </w:p>
    <w:p>
      <w:pPr>
        <w:pStyle w:val="Style5"/>
        <w:widowControl w:val="0"/>
        <w:keepNext w:val="0"/>
        <w:keepLines w:val="0"/>
        <w:shd w:val="clear" w:color="auto" w:fill="auto"/>
        <w:bidi w:val="0"/>
        <w:jc w:val="left"/>
        <w:spacing w:before="0" w:after="349" w:line="322" w:lineRule="exact"/>
        <w:ind w:left="5320" w:right="460" w:firstLine="0"/>
      </w:pPr>
      <w:r>
        <w:rPr>
          <w:lang w:val="ru-RU" w:eastAsia="ru-RU" w:bidi="ru-RU"/>
          <w:w w:val="100"/>
          <w:spacing w:val="0"/>
          <w:color w:val="000000"/>
          <w:position w:val="0"/>
        </w:rPr>
        <w:t>ул. Туристская, 16, корп. 3, Москва, 125459</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ГБУ «Автомобильные дороги СЗАО»</w:t>
      </w:r>
    </w:p>
    <w:p>
      <w:pPr>
        <w:pStyle w:val="Style5"/>
        <w:widowControl w:val="0"/>
        <w:keepNext w:val="0"/>
        <w:keepLines w:val="0"/>
        <w:shd w:val="clear" w:color="auto" w:fill="auto"/>
        <w:bidi w:val="0"/>
        <w:jc w:val="left"/>
        <w:spacing w:before="0" w:after="349" w:line="322" w:lineRule="exact"/>
        <w:ind w:left="5320" w:right="460" w:firstLine="0"/>
      </w:pPr>
      <w:r>
        <w:rPr>
          <w:lang w:val="ru-RU" w:eastAsia="ru-RU" w:bidi="ru-RU"/>
          <w:w w:val="100"/>
          <w:spacing w:val="0"/>
          <w:color w:val="000000"/>
          <w:position w:val="0"/>
        </w:rPr>
        <w:t>пр-д Строительный, д. 14А, стр. 1, г. Москва, 125363</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«Автомастер»</w:t>
      </w:r>
    </w:p>
    <w:p>
      <w:pPr>
        <w:pStyle w:val="Style5"/>
        <w:widowControl w:val="0"/>
        <w:keepNext w:val="0"/>
        <w:keepLines w:val="0"/>
        <w:shd w:val="clear" w:color="auto" w:fill="auto"/>
        <w:bidi w:val="0"/>
        <w:jc w:val="left"/>
        <w:spacing w:before="0" w:after="533" w:line="322" w:lineRule="exact"/>
        <w:ind w:left="5320" w:right="460" w:firstLine="0"/>
      </w:pPr>
      <w:r>
        <w:rPr>
          <w:lang w:val="ru-RU" w:eastAsia="ru-RU" w:bidi="ru-RU"/>
          <w:w w:val="100"/>
          <w:spacing w:val="0"/>
          <w:color w:val="000000"/>
          <w:position w:val="0"/>
        </w:rPr>
        <w:t>пер. Малый Лёвшинский, д. 10, г. Москва, 119034</w:t>
      </w:r>
    </w:p>
    <w:p>
      <w:pPr>
        <w:pStyle w:val="Style5"/>
        <w:tabs>
          <w:tab w:leader="none" w:pos="8660" w:val="left"/>
        </w:tabs>
        <w:widowControl w:val="0"/>
        <w:keepNext w:val="0"/>
        <w:keepLines w:val="0"/>
        <w:shd w:val="clear" w:color="auto" w:fill="auto"/>
        <w:bidi w:val="0"/>
        <w:jc w:val="left"/>
        <w:spacing w:before="0" w:after="0" w:line="331" w:lineRule="exact"/>
        <w:ind w:left="20" w:right="620" w:firstLine="4360"/>
      </w:pPr>
      <w:r>
        <w:rPr>
          <w:lang w:val="ru-RU" w:eastAsia="ru-RU" w:bidi="ru-RU"/>
          <w:w w:val="100"/>
          <w:spacing w:val="0"/>
          <w:color w:val="000000"/>
          <w:position w:val="0"/>
        </w:rPr>
        <w:t>РЕШЕНИЕ по делу №077/06/106-1799/2021 о нарушении законодательства о контрактной системе 05.02.2021</w:t>
        <w:tab/>
        <w:t>Москва</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331" w:lineRule="exact"/>
        <w:ind w:left="20" w:right="0" w:firstLine="54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jc w:val="both"/>
        <w:spacing w:before="0" w:after="0" w:line="331" w:lineRule="exact"/>
        <w:ind w:left="20" w:right="0" w:firstLine="54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44" w:val="left"/>
        </w:tabs>
        <w:widowControl w:val="0"/>
        <w:keepNext w:val="0"/>
        <w:keepLines w:val="0"/>
        <w:shd w:val="clear" w:color="auto" w:fill="auto"/>
        <w:bidi w:val="0"/>
        <w:jc w:val="both"/>
        <w:spacing w:before="0" w:after="0" w:line="331"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Специалиста 1 разряда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при участии представителей ГБУ «Автомобильные дороги СЗАО» и ООО «Автомастер»,</w:t>
      </w:r>
    </w:p>
    <w:p>
      <w:pPr>
        <w:pStyle w:val="Style3"/>
        <w:framePr w:w="1349" w:h="427" w:wrap="around" w:vAnchor="text" w:hAnchor="margin" w:x="351" w:y="167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001184417245</w:t>
      </w:r>
    </w:p>
    <w:p>
      <w:pPr>
        <w:pStyle w:val="Style5"/>
        <w:widowControl w:val="0"/>
        <w:keepNext w:val="0"/>
        <w:keepLines w:val="0"/>
        <w:shd w:val="clear" w:color="auto" w:fill="auto"/>
        <w:bidi w:val="0"/>
        <w:jc w:val="both"/>
        <w:spacing w:before="0" w:after="0" w:line="331" w:lineRule="exact"/>
        <w:ind w:left="20" w:right="20" w:firstLine="540"/>
      </w:pPr>
      <w:r>
        <w:rPr>
          <w:lang w:val="ru-RU" w:eastAsia="ru-RU" w:bidi="ru-RU"/>
          <w:w w:val="100"/>
          <w:spacing w:val="0"/>
          <w:color w:val="000000"/>
          <w:position w:val="0"/>
        </w:rPr>
        <w:t>рассмотрев жалобу ООО «Автомастер» (далее — Заявитель) на действия государственных заказчиков при проведении электронного аукциона на право заключения государственного контракта на поставку смазочных материалов и спецжидкостей (Закупка № 0373200017320000644) (далее - Аукцион) в соответствии</w:t>
      </w:r>
      <w:r>
        <w:br w:type="page"/>
      </w:r>
    </w:p>
    <w:p>
      <w:pPr>
        <w:pStyle w:val="Style5"/>
        <w:widowControl w:val="0"/>
        <w:keepNext w:val="0"/>
        <w:keepLines w:val="0"/>
        <w:shd w:val="clear" w:color="auto" w:fill="auto"/>
        <w:bidi w:val="0"/>
        <w:jc w:val="both"/>
        <w:spacing w:before="0" w:after="357" w:line="331" w:lineRule="exact"/>
        <w:ind w:left="20" w:right="20" w:firstLine="0"/>
      </w:pPr>
      <w:r>
        <w:rPr>
          <w:lang w:val="ru-RU" w:eastAsia="ru-RU" w:bidi="ru-RU"/>
          <w:w w:val="100"/>
          <w:spacing w:val="0"/>
          <w:color w:val="000000"/>
          <w:position w:val="0"/>
        </w:rPr>
        <w:t>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7"/>
        <w:widowControl w:val="0"/>
        <w:keepNext/>
        <w:keepLines/>
        <w:shd w:val="clear" w:color="auto" w:fill="auto"/>
        <w:bidi w:val="0"/>
        <w:spacing w:before="0" w:after="300"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№ЕИ/5753/21 от 03.02.2021.</w:t>
      </w:r>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Согласно ч.1 ст.33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tabs>
          <w:tab w:leader="none" w:pos="865" w:val="left"/>
        </w:tabs>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
        </w:numPr>
        <w:tabs>
          <w:tab w:leader="none" w:pos="898" w:val="left"/>
        </w:tabs>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tabs>
          <w:tab w:leader="none" w:pos="5454" w:val="center"/>
          <w:tab w:leader="none" w:pos="7436" w:val="right"/>
          <w:tab w:leader="none" w:pos="8679" w:val="right"/>
          <w:tab w:leader="none" w:pos="10196" w:val="right"/>
        </w:tabs>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Согласно п.2 ч.42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w:t>
        <w:tab/>
        <w:t>краткое</w:t>
        <w:tab/>
        <w:t>изложение</w:t>
        <w:tab/>
        <w:t>условий</w:t>
        <w:tab/>
        <w:t>контракта,</w:t>
      </w:r>
    </w:p>
    <w:p>
      <w:pPr>
        <w:pStyle w:val="Style5"/>
        <w:widowControl w:val="0"/>
        <w:keepNext w:val="0"/>
        <w:keepLines w:val="0"/>
        <w:shd w:val="clear" w:color="auto" w:fill="auto"/>
        <w:bidi w:val="0"/>
        <w:jc w:val="both"/>
        <w:spacing w:before="0" w:after="0" w:line="331" w:lineRule="exact"/>
        <w:ind w:left="20" w:right="20" w:firstLine="0"/>
      </w:pPr>
      <w:r>
        <w:rPr>
          <w:lang w:val="ru-RU" w:eastAsia="ru-RU" w:bidi="ru-RU"/>
          <w:w w:val="100"/>
          <w:spacing w:val="0"/>
          <w:color w:val="000000"/>
          <w:position w:val="0"/>
        </w:rPr>
        <w:t>содержащее наименование и описание объекта закупки с учетом требований, предусмотренных статьей 33 Закона о контрактной системе, 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numPr>
          <w:ilvl w:val="0"/>
          <w:numId w:val="3"/>
        </w:numPr>
        <w:tabs>
          <w:tab w:leader="none" w:pos="898" w:val="left"/>
        </w:tabs>
        <w:widowControl w:val="0"/>
        <w:keepNext w:val="0"/>
        <w:keepLines w:val="0"/>
        <w:shd w:val="clear" w:color="auto" w:fill="auto"/>
        <w:bidi w:val="0"/>
        <w:jc w:val="both"/>
        <w:spacing w:before="0" w:after="0" w:line="331" w:lineRule="exact"/>
        <w:ind w:left="20" w:right="20" w:firstLine="480"/>
      </w:pPr>
      <w:r>
        <w:rPr>
          <w:lang w:val="ru-RU" w:eastAsia="ru-RU" w:bidi="ru-RU"/>
          <w:w w:val="100"/>
          <w:spacing w:val="0"/>
          <w:color w:val="000000"/>
          <w:position w:val="0"/>
        </w:rPr>
        <w:t xml:space="preserve">В составе жалобы Заявитель указывает, что совокупности установленых требований по п.15 «Масло компрессорное»: </w:t>
      </w:r>
      <w:r>
        <w:rPr>
          <w:lang w:val="en-US" w:eastAsia="en-US" w:bidi="en-US"/>
          <w:w w:val="100"/>
          <w:spacing w:val="0"/>
          <w:color w:val="000000"/>
          <w:position w:val="0"/>
        </w:rPr>
        <w:t xml:space="preserve">«ISO </w:t>
      </w:r>
      <w:r>
        <w:rPr>
          <w:lang w:val="ru-RU" w:eastAsia="ru-RU" w:bidi="ru-RU"/>
          <w:w w:val="100"/>
          <w:spacing w:val="0"/>
          <w:color w:val="000000"/>
          <w:position w:val="0"/>
        </w:rPr>
        <w:t xml:space="preserve">100» соответствует продукция единственного производителя </w:t>
      </w:r>
      <w:r>
        <w:rPr>
          <w:lang w:val="en-US" w:eastAsia="en-US" w:bidi="en-US"/>
          <w:w w:val="100"/>
          <w:spacing w:val="0"/>
          <w:color w:val="000000"/>
          <w:position w:val="0"/>
        </w:rPr>
        <w:t>M</w:t>
      </w:r>
      <w:r>
        <w:rPr>
          <w:rStyle w:val="CharStyle9"/>
        </w:rPr>
        <w:t>ann</w:t>
      </w:r>
      <w:r>
        <w:rPr>
          <w:lang w:val="en-US" w:eastAsia="en-US" w:bidi="en-US"/>
          <w:w w:val="100"/>
          <w:spacing w:val="0"/>
          <w:color w:val="000000"/>
          <w:position w:val="0"/>
        </w:rPr>
        <w:t>ol.</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На заседании Комиссии Управления представителем Заказчика не представлены доказательства, свидетельствующие о том, что совокупности установленных требований соответствует продукция иных производителей с учетом того обстоятельства, что в представленных Заказчиком документах на масло иных производителей указаны отличные классы от заявленного класса КО 100 в зависимости от температуры.</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 xml:space="preserve">Так, например, Заказчик указывает на компрессорное масло РЕМСО </w:t>
      </w:r>
      <w:r>
        <w:rPr>
          <w:lang w:val="en-US" w:eastAsia="en-US" w:bidi="en-US"/>
          <w:w w:val="100"/>
          <w:spacing w:val="0"/>
          <w:color w:val="000000"/>
          <w:position w:val="0"/>
        </w:rPr>
        <w:t xml:space="preserve">Compressor Oil ISO </w:t>
      </w:r>
      <w:r>
        <w:rPr>
          <w:lang w:val="ru-RU" w:eastAsia="ru-RU" w:bidi="ru-RU"/>
          <w:w w:val="100"/>
          <w:spacing w:val="0"/>
          <w:color w:val="000000"/>
          <w:position w:val="0"/>
        </w:rPr>
        <w:t xml:space="preserve">100 </w:t>
      </w:r>
      <w:r>
        <w:rPr>
          <w:lang w:val="en-US" w:eastAsia="en-US" w:bidi="en-US"/>
          <w:w w:val="100"/>
          <w:spacing w:val="0"/>
          <w:color w:val="000000"/>
          <w:position w:val="0"/>
        </w:rPr>
        <w:t>(</w:t>
      </w:r>
      <w:r>
        <w:fldChar w:fldCharType="begin"/>
      </w:r>
      <w:r>
        <w:rPr>
          <w:rStyle w:val="CharStyle10"/>
        </w:rPr>
        <w:instrText> HYPERLINK "https://moskva.tiu.ru/p372215443-maslo-kompressornoe-pemco.html" </w:instrText>
      </w:r>
      <w:r>
        <w:fldChar w:fldCharType="separate"/>
      </w:r>
      <w:r>
        <w:rPr>
          <w:rStyle w:val="Hyperlink"/>
        </w:rPr>
        <w:t>https://moskva.tiu.ru/p372215443-maslo-kompressornoe-pemco.html</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Вместе с тем в описании товара указано, что данное минеральное беззольное компрессорное масло стандарта </w:t>
      </w:r>
      <w:r>
        <w:rPr>
          <w:lang w:val="en-US" w:eastAsia="en-US" w:bidi="en-US"/>
          <w:w w:val="100"/>
          <w:spacing w:val="0"/>
          <w:color w:val="000000"/>
          <w:position w:val="0"/>
        </w:rPr>
        <w:t xml:space="preserve">VDL </w:t>
      </w:r>
      <w:r>
        <w:rPr>
          <w:lang w:val="ru-RU" w:eastAsia="ru-RU" w:bidi="ru-RU"/>
          <w:w w:val="100"/>
          <w:spacing w:val="0"/>
          <w:color w:val="000000"/>
          <w:position w:val="0"/>
        </w:rPr>
        <w:t xml:space="preserve">имеет индексом вязкости </w:t>
      </w:r>
      <w:r>
        <w:rPr>
          <w:lang w:val="en-US" w:eastAsia="en-US" w:bidi="en-US"/>
          <w:w w:val="100"/>
          <w:spacing w:val="0"/>
          <w:color w:val="000000"/>
          <w:position w:val="0"/>
        </w:rPr>
        <w:t xml:space="preserve">ISO VG </w:t>
      </w:r>
      <w:r>
        <w:rPr>
          <w:lang w:val="ru-RU" w:eastAsia="ru-RU" w:bidi="ru-RU"/>
          <w:w w:val="100"/>
          <w:spacing w:val="0"/>
          <w:color w:val="000000"/>
          <w:position w:val="0"/>
        </w:rPr>
        <w:t>100.</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 xml:space="preserve">Вместе с тем Комиссия Управления отмечает, что характеристика «КО 100» не является эксплуатационной, качественной характеристикой, в то время как указывает исключительно на продукцию единственного производителя </w:t>
      </w:r>
      <w:r>
        <w:rPr>
          <w:lang w:val="en-US" w:eastAsia="en-US" w:bidi="en-US"/>
          <w:w w:val="100"/>
          <w:spacing w:val="0"/>
          <w:color w:val="000000"/>
          <w:position w:val="0"/>
        </w:rPr>
        <w:t>M</w:t>
      </w:r>
      <w:r>
        <w:rPr>
          <w:rStyle w:val="CharStyle9"/>
        </w:rPr>
        <w:t>ann</w:t>
      </w:r>
      <w:r>
        <w:rPr>
          <w:lang w:val="en-US" w:eastAsia="en-US" w:bidi="en-US"/>
          <w:w w:val="100"/>
          <w:spacing w:val="0"/>
          <w:color w:val="000000"/>
          <w:position w:val="0"/>
        </w:rPr>
        <w:t>ol.</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Согласно ч.22 ст.99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Одновременно с этим 25.12.2020 Комиссией по контролю в сфере закупок товаров, работ, услуг Управления Федеральной антимонопольной службы по г. Москве рассмотрена жалоба ООО «АВТОМАСТЕР» на действия Заказчика при проведении электронного аукциона на право заключения государственного контракта на поставку смазочных материалов и спецжидкостей (Закупка № 0373200017320000644), в результате рассмотрения которой Заказчику выдано обязательное для исполнения Предписание об устранении нарушений законодательства об осуществлении закупок по делу № 077/06/106-22854/2020 от 25.12.2020 (далее — Предписание). Вышеуказанный довод жалобы также был рассмотрен Комиссией Управления по делу № 077/06/106-22854/2020 от 25.12.2020 и был признан обоснованным.</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Согласно Предписанию, Заказчику необходимо привести положения аукционной документации в соответствие с требованиями законодательства Российской Федерации об осуществлении закупок и с учетом решения от 25.12.2020 по делу № 077/06/106-22854/2020.</w:t>
      </w:r>
    </w:p>
    <w:p>
      <w:pPr>
        <w:pStyle w:val="Style5"/>
        <w:widowControl w:val="0"/>
        <w:keepNext w:val="0"/>
        <w:keepLines w:val="0"/>
        <w:shd w:val="clear" w:color="auto" w:fill="auto"/>
        <w:bidi w:val="0"/>
        <w:jc w:val="both"/>
        <w:spacing w:before="0" w:after="0" w:line="331" w:lineRule="exact"/>
        <w:ind w:left="0" w:right="20" w:firstLine="560"/>
      </w:pPr>
      <w:r>
        <w:rPr>
          <w:lang w:val="ru-RU" w:eastAsia="ru-RU" w:bidi="ru-RU"/>
          <w:w w:val="100"/>
          <w:spacing w:val="0"/>
          <w:color w:val="000000"/>
          <w:position w:val="0"/>
        </w:rPr>
        <w:t>Вместе с тем Комиссией Управления установлено, что редакция аукционной документации от 22.01.2021 содержит в себе аналогичные требования, оспариваемые Заявителем по делу № 077/06/106-22854/2020 от 25.12.2020, что свидетельствует о неисполнении Заказчиком обязательного для исполнения предписания и нарушении ч.22 ст.99 Закона о контрактной системе.</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Также в составе жалобы Заявитель указывает на установление неправомерных требований к товару по п.28 «Масло гидравлическое»: «ТНК МГЕ 46В» совокупности которым соответствует товар единственного производителя - ТНК (ТНК</w:t>
      </w:r>
      <w:r>
        <w:rPr>
          <w:lang w:val="en-US" w:eastAsia="en-US" w:bidi="en-US"/>
          <w:w w:val="100"/>
          <w:spacing w:val="0"/>
          <w:color w:val="000000"/>
          <w:position w:val="0"/>
        </w:rPr>
        <w:t xml:space="preserve">-BP </w:t>
      </w:r>
      <w:r>
        <w:rPr>
          <w:lang w:val="ru-RU" w:eastAsia="ru-RU" w:bidi="ru-RU"/>
          <w:w w:val="100"/>
          <w:spacing w:val="0"/>
          <w:color w:val="000000"/>
          <w:position w:val="0"/>
        </w:rPr>
        <w:t>/ РОСНЕФТЬ) о чем напрямую свидетельствует наименование производителя в установленной Заказчиком характеристике.</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При этом представителем Заказчика не представлены документы, подтверждающие правомерности действий Заказчика при формировании подобным образом положений аукционной документации.</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Таким образом, Комиссия Управления приходит к выводу о нарушении Заказчиком п.1 ч.1 ст.33 Закона о контрактной системе.</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При этом Комиссией Управления установлено, что согласно протоколу рассмотрения заявок от 02.02.2021 №0373200017320000644-1-1 на участие в электронном аукционе подано 7 заявок. Снижение начальной максимальной цены контракта по результатам проведенного аукциона составило 54,5%.</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Таким образом Комиссия Управления приходит к выводу, что выявленные нарушения не повлияли на результат определения поставщика.</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 xml:space="preserve">Кроме того в составе жалобы Заявитель указывает на наличие неправомерных требований к товару по п.20 «Смазка пластичная»: «158 М синяя» совокупности которым соответствует товар единственного производителя </w:t>
      </w:r>
      <w:r>
        <w:rPr>
          <w:lang w:val="en-US" w:eastAsia="en-US" w:bidi="en-US"/>
          <w:w w:val="100"/>
          <w:spacing w:val="0"/>
          <w:color w:val="000000"/>
          <w:position w:val="0"/>
        </w:rPr>
        <w:t>OILRIGHT.</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Не согласившись с доводом жалобы представитель Заказчика пояснил, что помимо производителя, указанного в жалобе, требованиям документации также соответствует товар смазка 158М производства ООО «ПТК Завод имени Шаумяна».</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На основании вышеизложенного Комиссия Управления приходит к выводу о необоснованности данного довода жалобы.</w:t>
      </w:r>
    </w:p>
    <w:p>
      <w:pPr>
        <w:pStyle w:val="Style5"/>
        <w:widowControl w:val="0"/>
        <w:keepNext w:val="0"/>
        <w:keepLines w:val="0"/>
        <w:shd w:val="clear" w:color="auto" w:fill="auto"/>
        <w:bidi w:val="0"/>
        <w:jc w:val="both"/>
        <w:spacing w:before="0" w:after="0" w:line="331" w:lineRule="exact"/>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5"/>
        <w:widowControl w:val="0"/>
        <w:keepNext w:val="0"/>
        <w:keepLines w:val="0"/>
        <w:shd w:val="clear" w:color="auto" w:fill="auto"/>
        <w:bidi w:val="0"/>
        <w:jc w:val="center"/>
        <w:spacing w:before="0" w:after="295" w:line="260" w:lineRule="exact"/>
        <w:ind w:left="2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both"/>
        <w:spacing w:before="0" w:after="0" w:line="331" w:lineRule="exact"/>
        <w:ind w:left="0" w:right="20" w:firstLine="680"/>
      </w:pPr>
      <w:r>
        <w:rPr>
          <w:lang w:val="ru-RU" w:eastAsia="ru-RU" w:bidi="ru-RU"/>
          <w:w w:val="100"/>
          <w:spacing w:val="0"/>
          <w:color w:val="000000"/>
          <w:position w:val="0"/>
        </w:rPr>
        <w:t xml:space="preserve"> Признать жалобу ООО «Автомастер» на действия государственных заказчиков обоснованной в части установления неправомерных положений Технического задания.</w:t>
      </w:r>
    </w:p>
    <w:p>
      <w:pPr>
        <w:pStyle w:val="Style5"/>
        <w:numPr>
          <w:ilvl w:val="0"/>
          <w:numId w:val="5"/>
        </w:numPr>
        <w:widowControl w:val="0"/>
        <w:keepNext w:val="0"/>
        <w:keepLines w:val="0"/>
        <w:shd w:val="clear" w:color="auto" w:fill="auto"/>
        <w:bidi w:val="0"/>
        <w:jc w:val="both"/>
        <w:spacing w:before="0" w:after="0" w:line="336" w:lineRule="exact"/>
        <w:ind w:left="0" w:right="20" w:firstLine="680"/>
      </w:pPr>
      <w:r>
        <w:rPr>
          <w:lang w:val="ru-RU" w:eastAsia="ru-RU" w:bidi="ru-RU"/>
          <w:w w:val="100"/>
          <w:spacing w:val="0"/>
          <w:color w:val="000000"/>
          <w:position w:val="0"/>
        </w:rPr>
        <w:t xml:space="preserve"> Признать в действиях Заказчика нарушение п.1 ч.1 ст.33, ч.22 ст.99 Закона о контрактной системе.</w:t>
      </w:r>
    </w:p>
    <w:p>
      <w:pPr>
        <w:pStyle w:val="Style5"/>
        <w:numPr>
          <w:ilvl w:val="0"/>
          <w:numId w:val="5"/>
        </w:numPr>
        <w:widowControl w:val="0"/>
        <w:keepNext w:val="0"/>
        <w:keepLines w:val="0"/>
        <w:shd w:val="clear" w:color="auto" w:fill="auto"/>
        <w:bidi w:val="0"/>
        <w:jc w:val="both"/>
        <w:spacing w:before="0" w:after="292" w:line="331" w:lineRule="exact"/>
        <w:ind w:left="0" w:right="20" w:firstLine="6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не выдавать, так как выявленные нарушения не повлияли на результат определения поставщика (подрядчика, исполнителя).</w:t>
      </w:r>
    </w:p>
    <w:p>
      <w:pPr>
        <w:pStyle w:val="Style5"/>
        <w:widowControl w:val="0"/>
        <w:keepNext w:val="0"/>
        <w:keepLines w:val="0"/>
        <w:shd w:val="clear" w:color="auto" w:fill="auto"/>
        <w:bidi w:val="0"/>
        <w:jc w:val="both"/>
        <w:spacing w:before="0" w:after="605" w:line="341" w:lineRule="exact"/>
        <w:ind w:left="0" w:right="20" w:firstLine="680"/>
      </w:pPr>
      <w:r>
        <w:rPr>
          <w:lang w:val="ru-RU" w:eastAsia="ru-RU" w:bidi="ru-RU"/>
          <w:w w:val="100"/>
          <w:spacing w:val="0"/>
          <w:color w:val="000000"/>
          <w:position w:val="0"/>
        </w:rPr>
        <w:t>Решение может быть обжаловано в суде (Арбитражном суде) в соответствии с законодательством Российской Федерации.</w:t>
      </w:r>
    </w:p>
    <w:p>
      <w:pPr>
        <w:pStyle w:val="Style5"/>
        <w:tabs>
          <w:tab w:leader="none" w:pos="10147" w:val="right"/>
          <w:tab w:leader="none" w:pos="10171" w:val="right"/>
        </w:tabs>
        <w:widowControl w:val="0"/>
        <w:keepNext w:val="0"/>
        <w:keepLines w:val="0"/>
        <w:shd w:val="clear" w:color="auto" w:fill="auto"/>
        <w:bidi w:val="0"/>
        <w:jc w:val="both"/>
        <w:spacing w:before="0" w:after="712" w:line="260" w:lineRule="exact"/>
        <w:ind w:left="0" w:right="0" w:firstLine="0"/>
      </w:pPr>
      <w:r>
        <w:rPr>
          <w:lang w:val="ru-RU" w:eastAsia="ru-RU" w:bidi="ru-RU"/>
          <w:w w:val="100"/>
          <w:spacing w:val="0"/>
          <w:color w:val="000000"/>
          <w:position w:val="0"/>
        </w:rPr>
        <w:t>Заместитель председателя Комиссии</w:t>
        <w:tab/>
        <w:t>Д.А.</w:t>
        <w:tab/>
        <w:t>Сологов</w:t>
      </w:r>
    </w:p>
    <w:p>
      <w:pPr>
        <w:pStyle w:val="Style5"/>
        <w:tabs>
          <w:tab w:leader="none" w:pos="9214" w:val="right"/>
          <w:tab w:leader="none" w:pos="10147" w:val="right"/>
        </w:tabs>
        <w:widowControl w:val="0"/>
        <w:keepNext w:val="0"/>
        <w:keepLines w:val="0"/>
        <w:shd w:val="clear" w:color="auto" w:fill="auto"/>
        <w:bidi w:val="0"/>
        <w:jc w:val="both"/>
        <w:spacing w:before="0" w:after="717" w:line="260" w:lineRule="exact"/>
        <w:ind w:left="0" w:right="0" w:firstLine="0"/>
      </w:pPr>
      <w:r>
        <w:rPr>
          <w:lang w:val="ru-RU" w:eastAsia="ru-RU" w:bidi="ru-RU"/>
          <w:w w:val="100"/>
          <w:spacing w:val="0"/>
          <w:color w:val="000000"/>
          <w:position w:val="0"/>
        </w:rPr>
        <w:t>Члены Комиссии</w:t>
        <w:tab/>
        <w:t>Н.А.</w:t>
        <w:tab/>
        <w:t>Узкий</w:t>
      </w:r>
    </w:p>
    <w:p>
      <w:pPr>
        <w:pStyle w:val="Style5"/>
        <w:widowControl w:val="0"/>
        <w:keepNext w:val="0"/>
        <w:keepLines w:val="0"/>
        <w:shd w:val="clear" w:color="auto" w:fill="auto"/>
        <w:bidi w:val="0"/>
        <w:jc w:val="right"/>
        <w:spacing w:before="0" w:after="3843" w:line="260" w:lineRule="exact"/>
        <w:ind w:left="0" w:right="20" w:firstLine="0"/>
      </w:pPr>
      <w:r>
        <w:rPr>
          <w:lang w:val="ru-RU" w:eastAsia="ru-RU" w:bidi="ru-RU"/>
          <w:w w:val="100"/>
          <w:spacing w:val="0"/>
          <w:color w:val="000000"/>
          <w:position w:val="0"/>
        </w:rPr>
        <w:t>П.А. Ступченко</w:t>
      </w:r>
    </w:p>
    <w:p>
      <w:pPr>
        <w:pStyle w:val="Style11"/>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Узкий Н.А. (495) 784-75-05(доб. 077-121)</w:t>
      </w:r>
    </w:p>
    <w:sectPr>
      <w:footnotePr>
        <w:pos w:val="pageBottom"/>
        <w:numFmt w:val="decimal"/>
        <w:numRestart w:val="continuous"/>
      </w:footnotePr>
      <w:type w:val="continuous"/>
      <w:pgSz w:w="11906" w:h="16838"/>
      <w:pgMar w:top="1022" w:left="850" w:right="841"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en-US" w:eastAsia="en-US" w:bidi="en-US"/>
      <w:u w:val="single"/>
      <w:w w:val="100"/>
      <w:spacing w:val="0"/>
      <w:color w:val="000000"/>
      <w:position w:val="0"/>
    </w:rPr>
  </w:style>
  <w:style w:type="character" w:customStyle="1" w:styleId="CharStyle10">
    <w:name w:val="Основной текст + 11 pt"/>
    <w:basedOn w:val="CharStyle6"/>
    <w:rPr>
      <w:lang w:val="en-US" w:eastAsia="en-US" w:bidi="en-US"/>
      <w:u w:val="single"/>
      <w:sz w:val="22"/>
      <w:szCs w:val="22"/>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300"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both"/>
      <w:spacing w:before="39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