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8" w:line="260" w:lineRule="exact"/>
        <w:ind w:left="5320" w:right="0" w:firstLine="0"/>
      </w:pPr>
      <w:r>
        <w:rPr>
          <w:lang w:val="ru-RU" w:eastAsia="ru-RU" w:bidi="ru-RU"/>
          <w:w w:val="100"/>
          <w:spacing w:val="0"/>
          <w:color w:val="000000"/>
          <w:position w:val="0"/>
        </w:rPr>
        <w:t>Администрация поселения Внуковское</w:t>
      </w:r>
    </w:p>
    <w:p>
      <w:pPr>
        <w:pStyle w:val="Style5"/>
        <w:widowControl w:val="0"/>
        <w:keepNext w:val="0"/>
        <w:keepLines w:val="0"/>
        <w:shd w:val="clear" w:color="auto" w:fill="auto"/>
        <w:bidi w:val="0"/>
        <w:jc w:val="left"/>
        <w:spacing w:before="0" w:after="244" w:line="322" w:lineRule="exact"/>
        <w:ind w:left="5320" w:right="200" w:firstLine="0"/>
      </w:pPr>
      <w:r>
        <w:rPr>
          <w:lang w:val="ru-RU" w:eastAsia="ru-RU" w:bidi="ru-RU"/>
          <w:w w:val="100"/>
          <w:spacing w:val="0"/>
          <w:color w:val="000000"/>
          <w:position w:val="0"/>
        </w:rPr>
        <w:t>Внуково п, д. 50, Внуковское пос., г. Москва, 108817</w:t>
      </w:r>
    </w:p>
    <w:p>
      <w:pPr>
        <w:pStyle w:val="Style5"/>
        <w:widowControl w:val="0"/>
        <w:keepNext w:val="0"/>
        <w:keepLines w:val="0"/>
        <w:shd w:val="clear" w:color="auto" w:fill="auto"/>
        <w:bidi w:val="0"/>
        <w:jc w:val="left"/>
        <w:spacing w:before="0" w:after="236" w:line="317" w:lineRule="exact"/>
        <w:ind w:left="5320" w:right="200" w:firstLine="0"/>
      </w:pPr>
      <w:r>
        <w:rPr>
          <w:lang w:val="ru-RU" w:eastAsia="ru-RU" w:bidi="ru-RU"/>
          <w:w w:val="100"/>
          <w:spacing w:val="0"/>
          <w:color w:val="000000"/>
          <w:position w:val="0"/>
        </w:rPr>
        <w:t>ООО «Межотраслевая Инвестиционная Группа»</w:t>
      </w:r>
    </w:p>
    <w:p>
      <w:pPr>
        <w:pStyle w:val="Style5"/>
        <w:widowControl w:val="0"/>
        <w:keepNext w:val="0"/>
        <w:keepLines w:val="0"/>
        <w:shd w:val="clear" w:color="auto" w:fill="auto"/>
        <w:bidi w:val="0"/>
        <w:jc w:val="left"/>
        <w:spacing w:before="0" w:after="1136" w:line="322" w:lineRule="exact"/>
        <w:ind w:left="5320" w:right="200" w:firstLine="0"/>
      </w:pPr>
      <w:r>
        <w:rPr>
          <w:lang w:val="ru-RU" w:eastAsia="ru-RU" w:bidi="ru-RU"/>
          <w:w w:val="100"/>
          <w:spacing w:val="0"/>
          <w:color w:val="000000"/>
          <w:position w:val="0"/>
        </w:rPr>
        <w:t>Осенняя ул., д. 23, пом. I, комн. 6, г. Москва, 121609</w:t>
      </w:r>
    </w:p>
    <w:p>
      <w:pPr>
        <w:pStyle w:val="Style7"/>
        <w:tabs>
          <w:tab w:leader="none" w:pos="8967" w:val="left"/>
        </w:tabs>
        <w:widowControl w:val="0"/>
        <w:keepNext w:val="0"/>
        <w:keepLines w:val="0"/>
        <w:shd w:val="clear" w:color="auto" w:fill="auto"/>
        <w:bidi w:val="0"/>
        <w:jc w:val="left"/>
        <w:spacing w:before="0" w:after="0"/>
        <w:ind w:left="20" w:right="40"/>
      </w:pPr>
      <w:r>
        <w:rPr>
          <w:lang w:val="ru-RU" w:eastAsia="ru-RU" w:bidi="ru-RU"/>
          <w:w w:val="100"/>
          <w:spacing w:val="0"/>
          <w:color w:val="000000"/>
          <w:position w:val="0"/>
        </w:rPr>
        <w:t>РЕШЕНИЕ по делу № 077/06/106-1791/2021 о нарушении законодательства о контрактной системе 05.02.2021</w:t>
        <w:tab/>
        <w:t>г. Москва</w:t>
      </w:r>
    </w:p>
    <w:p>
      <w:pPr>
        <w:pStyle w:val="Style5"/>
        <w:widowControl w:val="0"/>
        <w:keepNext w:val="0"/>
        <w:keepLines w:val="0"/>
        <w:shd w:val="clear" w:color="auto" w:fill="auto"/>
        <w:bidi w:val="0"/>
        <w:jc w:val="both"/>
        <w:spacing w:before="0" w:after="0" w:line="326" w:lineRule="exact"/>
        <w:ind w:left="20" w:right="40" w:firstLine="8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26" w:lineRule="exact"/>
        <w:ind w:left="20" w:right="40" w:firstLine="8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5"/>
        <w:widowControl w:val="0"/>
        <w:keepNext w:val="0"/>
        <w:keepLines w:val="0"/>
        <w:shd w:val="clear" w:color="auto" w:fill="auto"/>
        <w:bidi w:val="0"/>
        <w:jc w:val="both"/>
        <w:spacing w:before="0" w:after="0" w:line="326" w:lineRule="exact"/>
        <w:ind w:left="20" w:right="0" w:firstLine="880"/>
      </w:pPr>
      <w:r>
        <w:rPr>
          <w:lang w:val="ru-RU" w:eastAsia="ru-RU" w:bidi="ru-RU"/>
          <w:w w:val="100"/>
          <w:spacing w:val="0"/>
          <w:color w:val="000000"/>
          <w:position w:val="0"/>
        </w:rPr>
        <w:t>Членов Комиссии:</w:t>
      </w:r>
    </w:p>
    <w:p>
      <w:pPr>
        <w:pStyle w:val="Style5"/>
        <w:tabs>
          <w:tab w:leader="none" w:pos="5174" w:val="left"/>
        </w:tabs>
        <w:widowControl w:val="0"/>
        <w:keepNext w:val="0"/>
        <w:keepLines w:val="0"/>
        <w:shd w:val="clear" w:color="auto" w:fill="auto"/>
        <w:bidi w:val="0"/>
        <w:jc w:val="both"/>
        <w:spacing w:before="0" w:after="0" w:line="326" w:lineRule="exact"/>
        <w:ind w:left="20" w:right="0" w:firstLine="880"/>
      </w:pPr>
      <w:r>
        <w:rPr>
          <w:lang w:val="ru-RU" w:eastAsia="ru-RU" w:bidi="ru-RU"/>
          <w:w w:val="100"/>
          <w:spacing w:val="0"/>
          <w:color w:val="000000"/>
          <w:position w:val="0"/>
        </w:rPr>
        <w:t>Ведущего специалиста-эксперта</w:t>
        <w:tab/>
        <w:t>отдела обжалования государственных</w:t>
      </w:r>
    </w:p>
    <w:p>
      <w:pPr>
        <w:pStyle w:val="Style5"/>
        <w:widowControl w:val="0"/>
        <w:keepNext w:val="0"/>
        <w:keepLines w:val="0"/>
        <w:shd w:val="clear" w:color="auto" w:fill="auto"/>
        <w:bidi w:val="0"/>
        <w:jc w:val="both"/>
        <w:spacing w:before="0" w:after="0" w:line="326" w:lineRule="exact"/>
        <w:ind w:left="20" w:right="0" w:firstLine="0"/>
      </w:pPr>
      <w:r>
        <w:rPr>
          <w:lang w:val="ru-RU" w:eastAsia="ru-RU" w:bidi="ru-RU"/>
          <w:w w:val="100"/>
          <w:spacing w:val="0"/>
          <w:color w:val="000000"/>
          <w:position w:val="0"/>
        </w:rPr>
        <w:t>закупок Н.А. Узкого,</w:t>
      </w:r>
    </w:p>
    <w:p>
      <w:pPr>
        <w:pStyle w:val="Style5"/>
        <w:tabs>
          <w:tab w:leader="none" w:pos="5169" w:val="left"/>
        </w:tabs>
        <w:widowControl w:val="0"/>
        <w:keepNext w:val="0"/>
        <w:keepLines w:val="0"/>
        <w:shd w:val="clear" w:color="auto" w:fill="auto"/>
        <w:bidi w:val="0"/>
        <w:jc w:val="both"/>
        <w:spacing w:before="0" w:after="0" w:line="326" w:lineRule="exact"/>
        <w:ind w:left="20" w:right="0" w:firstLine="880"/>
      </w:pPr>
      <w:r>
        <w:rPr>
          <w:lang w:val="ru-RU" w:eastAsia="ru-RU" w:bidi="ru-RU"/>
          <w:w w:val="100"/>
          <w:spacing w:val="0"/>
          <w:color w:val="000000"/>
          <w:position w:val="0"/>
        </w:rPr>
        <w:t>Специалиста 1 разряда отдела</w:t>
        <w:tab/>
        <w:t>обжалования государственных закупок</w:t>
      </w:r>
    </w:p>
    <w:p>
      <w:pPr>
        <w:pStyle w:val="Style5"/>
        <w:widowControl w:val="0"/>
        <w:keepNext w:val="0"/>
        <w:keepLines w:val="0"/>
        <w:shd w:val="clear" w:color="auto" w:fill="auto"/>
        <w:bidi w:val="0"/>
        <w:jc w:val="both"/>
        <w:spacing w:before="0" w:after="0" w:line="326" w:lineRule="exact"/>
        <w:ind w:left="20" w:right="0" w:firstLine="0"/>
      </w:pPr>
      <w:r>
        <w:rPr>
          <w:lang w:val="ru-RU" w:eastAsia="ru-RU" w:bidi="ru-RU"/>
          <w:w w:val="100"/>
          <w:spacing w:val="0"/>
          <w:color w:val="000000"/>
          <w:position w:val="0"/>
        </w:rPr>
        <w:t>П.А. Ступченко,</w:t>
      </w:r>
    </w:p>
    <w:p>
      <w:pPr>
        <w:pStyle w:val="Style5"/>
        <w:tabs>
          <w:tab w:leader="none" w:pos="567" w:val="left"/>
          <w:tab w:leader="none" w:pos="5192" w:val="left"/>
        </w:tabs>
        <w:widowControl w:val="0"/>
        <w:keepNext w:val="0"/>
        <w:keepLines w:val="0"/>
        <w:shd w:val="clear" w:color="auto" w:fill="auto"/>
        <w:bidi w:val="0"/>
        <w:jc w:val="both"/>
        <w:spacing w:before="0" w:after="0" w:line="326" w:lineRule="exact"/>
        <w:ind w:left="20" w:right="40" w:firstLine="8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w:t>
        <w:tab/>
        <w:t>в правовые акты города Москвы»</w:t>
      </w:r>
    </w:p>
    <w:p>
      <w:pPr>
        <w:pStyle w:val="Style5"/>
        <w:tabs>
          <w:tab w:leader="none" w:pos="5211" w:val="left"/>
        </w:tabs>
        <w:widowControl w:val="0"/>
        <w:keepNext w:val="0"/>
        <w:keepLines w:val="0"/>
        <w:shd w:val="clear" w:color="auto" w:fill="auto"/>
        <w:bidi w:val="0"/>
        <w:jc w:val="both"/>
        <w:spacing w:before="0" w:after="0" w:line="326" w:lineRule="exact"/>
        <w:ind w:left="20" w:right="0" w:firstLine="0"/>
      </w:pPr>
      <w:r>
        <w:rPr>
          <w:lang w:val="ru-RU" w:eastAsia="ru-RU" w:bidi="ru-RU"/>
          <w:w w:val="100"/>
          <w:spacing w:val="0"/>
          <w:color w:val="000000"/>
          <w:position w:val="0"/>
        </w:rPr>
        <w:t>и предупреждения распространения в</w:t>
        <w:tab/>
        <w:t>городе Москве инфекции, вызванной</w:t>
      </w:r>
    </w:p>
    <w:p>
      <w:pPr>
        <w:pStyle w:val="Style5"/>
        <w:widowControl w:val="0"/>
        <w:keepNext w:val="0"/>
        <w:keepLines w:val="0"/>
        <w:shd w:val="clear" w:color="auto" w:fill="auto"/>
        <w:bidi w:val="0"/>
        <w:jc w:val="both"/>
        <w:spacing w:before="0" w:after="0" w:line="326" w:lineRule="exact"/>
        <w:ind w:left="20" w:right="0" w:firstLine="0"/>
      </w:pPr>
      <w:r>
        <w:rPr>
          <w:lang w:val="ru-RU" w:eastAsia="ru-RU" w:bidi="ru-RU"/>
          <w:w w:val="100"/>
          <w:spacing w:val="0"/>
          <w:color w:val="000000"/>
          <w:position w:val="0"/>
        </w:rPr>
        <w:t>коронавирусом 201</w:t>
      </w:r>
      <w:r>
        <w:rPr>
          <w:lang w:val="en-US" w:eastAsia="en-US" w:bidi="en-US"/>
          <w:w w:val="100"/>
          <w:spacing w:val="0"/>
          <w:color w:val="000000"/>
          <w:position w:val="0"/>
        </w:rPr>
        <w:t>9-nCoV,</w:t>
      </w:r>
    </w:p>
    <w:p>
      <w:pPr>
        <w:pStyle w:val="Style5"/>
        <w:widowControl w:val="0"/>
        <w:keepNext w:val="0"/>
        <w:keepLines w:val="0"/>
        <w:shd w:val="clear" w:color="auto" w:fill="auto"/>
        <w:bidi w:val="0"/>
        <w:jc w:val="both"/>
        <w:spacing w:before="0" w:after="0" w:line="326" w:lineRule="exact"/>
        <w:ind w:left="20" w:right="40" w:firstLine="880"/>
      </w:pPr>
      <w:r>
        <w:rPr>
          <w:lang w:val="ru-RU" w:eastAsia="ru-RU" w:bidi="ru-RU"/>
          <w:w w:val="100"/>
          <w:spacing w:val="0"/>
          <w:color w:val="000000"/>
          <w:position w:val="0"/>
        </w:rPr>
        <w:t>при участии представителей Администрации поселения Внуковское и ООО «Межотраслевая Инвестиционная Группа»,</w:t>
      </w:r>
    </w:p>
    <w:p>
      <w:pPr>
        <w:pStyle w:val="Style3"/>
        <w:framePr w:w="1349" w:h="427" w:wrap="around" w:vAnchor="text" w:hAnchor="margin" w:x="351" w:y="2487"/>
        <w:widowControl w:val="0"/>
        <w:keepNext w:val="0"/>
        <w:keepLines w:val="0"/>
        <w:shd w:val="clear" w:color="auto" w:fill="auto"/>
        <w:bidi w:val="0"/>
        <w:jc w:val="left"/>
        <w:spacing w:before="0" w:after="0" w:line="240" w:lineRule="auto"/>
        <w:ind w:left="0" w:right="0" w:firstLine="0"/>
      </w:pPr>
      <w:r>
        <w:rPr>
          <w:w w:val="100"/>
          <w:spacing w:val="0"/>
          <w:color w:val="000000"/>
          <w:position w:val="0"/>
        </w:rPr>
        <w:t>000774090437</w:t>
      </w:r>
    </w:p>
    <w:p>
      <w:pPr>
        <w:pStyle w:val="Style5"/>
        <w:widowControl w:val="0"/>
        <w:keepNext w:val="0"/>
        <w:keepLines w:val="0"/>
        <w:shd w:val="clear" w:color="auto" w:fill="auto"/>
        <w:bidi w:val="0"/>
        <w:jc w:val="both"/>
        <w:spacing w:before="0" w:after="0" w:line="326" w:lineRule="exact"/>
        <w:ind w:left="20" w:right="40" w:firstLine="880"/>
      </w:pPr>
      <w:r>
        <w:rPr>
          <w:lang w:val="ru-RU" w:eastAsia="ru-RU" w:bidi="ru-RU"/>
          <w:w w:val="100"/>
          <w:spacing w:val="0"/>
          <w:color w:val="000000"/>
          <w:position w:val="0"/>
        </w:rPr>
        <w:t>рассмотрев жалобу ООО «Межотраслевая Инвестиционная Группа» (далее — Заявитель) на действия Администрации поселения Внуковское (далее — Заказчик) при проведении открытого конкурса в электронной формена право заключения государственного контракта на выполнение работ по ремонту объектов дорожного хозяйства на территории поселения Внуковское(Закупка № 0148300035121000001) (далее — электронный конкурс, конкурс) в соответствии с Федеральным законом от</w:t>
      </w:r>
    </w:p>
    <w:p>
      <w:pPr>
        <w:pStyle w:val="Style5"/>
        <w:numPr>
          <w:ilvl w:val="0"/>
          <w:numId w:val="1"/>
        </w:numPr>
        <w:tabs>
          <w:tab w:leader="none" w:pos="1453" w:val="left"/>
        </w:tabs>
        <w:widowControl w:val="0"/>
        <w:keepNext w:val="0"/>
        <w:keepLines w:val="0"/>
        <w:shd w:val="clear" w:color="auto" w:fill="auto"/>
        <w:bidi w:val="0"/>
        <w:jc w:val="both"/>
        <w:spacing w:before="0" w:after="0" w:line="326" w:lineRule="exact"/>
        <w:ind w:left="20" w:right="0" w:firstLine="0"/>
      </w:pPr>
      <w:r>
        <w:rPr>
          <w:lang w:val="ru-RU" w:eastAsia="ru-RU" w:bidi="ru-RU"/>
          <w:w w:val="100"/>
          <w:spacing w:val="0"/>
          <w:color w:val="000000"/>
          <w:position w:val="0"/>
        </w:rPr>
        <w:t>№ 44-ФЗ «О контрактной системе в сфере закупок товаров, работ, услуг</w:t>
      </w:r>
      <w:r>
        <w:br w:type="page"/>
      </w:r>
    </w:p>
    <w:p>
      <w:pPr>
        <w:pStyle w:val="Style5"/>
        <w:widowControl w:val="0"/>
        <w:keepNext w:val="0"/>
        <w:keepLines w:val="0"/>
        <w:shd w:val="clear" w:color="auto" w:fill="auto"/>
        <w:bidi w:val="0"/>
        <w:jc w:val="both"/>
        <w:spacing w:before="0" w:after="357" w:line="331" w:lineRule="exact"/>
        <w:ind w:left="20" w:right="20" w:firstLine="0"/>
      </w:pPr>
      <w:r>
        <w:rPr>
          <w:lang w:val="ru-RU" w:eastAsia="ru-RU" w:bidi="ru-RU"/>
          <w:w w:val="100"/>
          <w:spacing w:val="0"/>
          <w:color w:val="000000"/>
          <w:position w:val="0"/>
        </w:rPr>
        <w:t>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9"/>
        <w:widowControl w:val="0"/>
        <w:keepNext/>
        <w:keepLines/>
        <w:shd w:val="clear" w:color="auto" w:fill="auto"/>
        <w:bidi w:val="0"/>
        <w:spacing w:before="0" w:after="304"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конкурса.</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Заявитель обжалует действия Заказчика, выразившиеся в размещении конкурсной документации в нарушение норм Закона о контрактной системе.</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от 03.02.2021 № ЕИ/5752/21 документы и сведения.</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В результате рассмотрения жалобы, представленных документов и сведений, Комиссия Управления установила следующее.</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По мнению Заявителя, положения порядка оценки заявок по показателю «Опыт участника по успешному выполнению работ сопоставимого характера и объема» нестоимостного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установлены таким образом, что допускают субъективную оценку конкурсной комиссией Заказчика заявок, окончательных предложений участников закупки.</w:t>
      </w:r>
    </w:p>
    <w:p>
      <w:pPr>
        <w:pStyle w:val="Style5"/>
        <w:tabs>
          <w:tab w:leader="none" w:pos="3342" w:val="left"/>
        </w:tabs>
        <w:widowControl w:val="0"/>
        <w:keepNext w:val="0"/>
        <w:keepLines w:val="0"/>
        <w:shd w:val="clear" w:color="auto" w:fill="auto"/>
        <w:bidi w:val="0"/>
        <w:jc w:val="both"/>
        <w:spacing w:before="0" w:after="0" w:line="326" w:lineRule="exact"/>
        <w:ind w:left="20" w:right="0" w:firstLine="720"/>
      </w:pPr>
      <w:r>
        <w:rPr>
          <w:lang w:val="ru-RU" w:eastAsia="ru-RU" w:bidi="ru-RU"/>
          <w:w w:val="100"/>
          <w:spacing w:val="0"/>
          <w:color w:val="000000"/>
          <w:position w:val="0"/>
        </w:rPr>
        <w:t>Согласно п.8 ч.1</w:t>
        <w:tab/>
        <w:t>ст.54.3 Закона о контрактной системе конкурсная</w:t>
      </w:r>
    </w:p>
    <w:p>
      <w:pPr>
        <w:pStyle w:val="Style5"/>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В силу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Согласно п.3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w:t>
      </w:r>
    </w:p>
    <w:p>
      <w:pPr>
        <w:pStyle w:val="Style5"/>
        <w:numPr>
          <w:ilvl w:val="0"/>
          <w:numId w:val="3"/>
        </w:numPr>
        <w:tabs>
          <w:tab w:leader="none" w:pos="1527" w:val="left"/>
        </w:tabs>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 1085 (далее - Правила),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В соответствии с п.11 Правил по каждому критерию оценки используется 100-балльная шкала оценки. Если в соответствии с п.10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 Сумма величин значимости показателей критерия оценки должна составлять 100 процентов.</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На основании изложенного, при наличии в документации о закупке показателей нестоимостного критерия, порядок оценки должен содержать:</w:t>
      </w:r>
    </w:p>
    <w:p>
      <w:pPr>
        <w:pStyle w:val="Style5"/>
        <w:numPr>
          <w:ilvl w:val="0"/>
          <w:numId w:val="5"/>
        </w:numPr>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 xml:space="preserve"> значимость в отношении каждого показателя, которая в соответствии с п.3 Правил является выраженным в процентах весом показателя;</w:t>
      </w:r>
    </w:p>
    <w:p>
      <w:pPr>
        <w:pStyle w:val="Style5"/>
        <w:numPr>
          <w:ilvl w:val="0"/>
          <w:numId w:val="5"/>
        </w:numPr>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 xml:space="preserve"> сумму величин значимости показателей критерия оценки в размере 100 процентов;</w:t>
      </w:r>
    </w:p>
    <w:p>
      <w:pPr>
        <w:pStyle w:val="Style5"/>
        <w:numPr>
          <w:ilvl w:val="0"/>
          <w:numId w:val="5"/>
        </w:numPr>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 xml:space="preserve"> формулу расчета или шкалу количества баллов, предусматривающую присвоение по каждому показателю от 0 до 100 баллов (для дальнейшего умножения на коэффициент значимости показателя).</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Комиссией Управления определено, что согласно конкурсной документации по показателю «Опыт участника по успешному выполнению работ сопоставимого характера и объема» нестоимостного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 в том числе следующий порядок оценки:</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«Оценивается предложение участника о суммарной стоимости успешно выполненных работ, исчисляемой в рублях, по исполненным участником государственным и/или муниципальным контрактам и/или гражданско-правовым договорам, заключенным в соответствии с Федеральным законом от 05.04.2013 № 44-ФЗ, гражданско-правовым договорам, заключенным в соответствии с Федеральным законом от 18.07.2011 № 223-ФЗ, иным договорам, заключенным в соответствии с Гражданским кодексом Российской Федерации (далее - контракт(- ы)) сопоставимого характера и объема. При этом указанные контракты должны быть заключены за последние 3 года до даты окончания срока подачи заявок на участие в закупке.</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Сведения о наличии опыта участника по успешному выполнению работ сопоставимого характера и объема подтверждаются следующими документами:</w:t>
      </w:r>
    </w:p>
    <w:p>
      <w:pPr>
        <w:pStyle w:val="Style5"/>
        <w:numPr>
          <w:ilvl w:val="0"/>
          <w:numId w:val="7"/>
        </w:numPr>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 xml:space="preserve"> копия ранее исполненного контракта на выполнение работ сопоставимого характера и объема;</w:t>
      </w:r>
    </w:p>
    <w:p>
      <w:pPr>
        <w:pStyle w:val="Style5"/>
        <w:numPr>
          <w:ilvl w:val="0"/>
          <w:numId w:val="7"/>
        </w:numPr>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 xml:space="preserve"> копия акта(ов) о приемке выполненных работ, подтверждающего(их) приемку работ по исполнению контракта или копия итогового акта о приемке выполненных работ, содержащего(их) сведения о стоимости выполненных работ.</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Копии указанных документов должны быть представлены в полном объеме со всеми приложениями, являющимися их неотъемлемой частью (должны быть представлены все страницы контрактов, приложений и дополнительных соглашений к контрактам (при наличии), а также актов о приемке выполненных работ). При этом представленные документы должны быть в виде неповторяющихся, полночитаемых копий, на которых видны необходимые сведения, позволяющие определить стороны контракта, дату заключения контракта, предмет контракта, цену контракта, подписи и печати (при наличии).</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Датой исполнения контракта считается дата акта о приемке выполненных работ или итогового акта о приемке выполненных работ, подтверждающего приемку работ по исполненному контракту.</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Под успешным выполнением работ понимается исполнение участником закупки контрактов в соответствии с условиями, установленными в контрактах, без применения к такому участнику неустоек (штрафов, пеней).</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Заказчик вправе запросить у соответствующих органов и организаций информацию об успешном выполнении работ по исполнению участником закупки контракта без применения к такому участнику неустоек (штрафов, пеней).</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Под работами сопоставимого характера понимаются работы по ремонту объектов дорожного хозяйства и/или объектов транспортной инфраструктуры, предназначенных для безопасного движения транспортных средств и пешеходов. Под работами сопоставимого объема понимаются работы, выполненные по контрактам, где цена одного контракта составляет не менее 20 процентов начальной (максимальной) цены контракта, на право заключить который проводится закупка.</w:t>
      </w:r>
    </w:p>
    <w:p>
      <w:pPr>
        <w:pStyle w:val="Style5"/>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Рекомендуемая форма «Сводные сведения о наличии опыта участника закупки по успешному выполнению работ сопоставимого характера и объема» приведена в Приложении № 1 к настоящим критериям оценки заявок.</w:t>
      </w:r>
    </w:p>
    <w:p>
      <w:pPr>
        <w:pStyle w:val="Style5"/>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Непредоставление в составе второй части заявки на участие в конкурсе документов, подтверждающих сведения о наличии опыта участника по успешному выполнению работ сопоставимого характера и объема, не является основанием для отказа в допуске к участию в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второй части заявки на участие в конкурсе».</w:t>
      </w:r>
    </w:p>
    <w:p>
      <w:pPr>
        <w:pStyle w:val="Style5"/>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На заседании Комиссии Управления представитель Заявителя пояснил, что требование порядка оценки об отсутствии применения мер ответственности за неисполнение (ненадлежащее исполнение) обязательств не позволяет участникам закупки получить максимальное количество баллов, поскольку применение штрафа, неустоек, пеней за нарушение условий контракта (договора), представленного участником к оценке, по мнению Заявителя, не является надлежащим подтверждением отсутствия у участника закупки соответствующего опыта.</w:t>
      </w:r>
    </w:p>
    <w:p>
      <w:pPr>
        <w:pStyle w:val="Style5"/>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Комиссия Управления отмечает, что по показателю «Опыт участника по успешному выполнению работ сопоставимого характера и объема» оценивается предложение участника об объемах исполненных участником контрактов за последние 3 года (до даты подачи заявок на участие в конкурсе) без нарушения сроков и иных нарушений условий контракта по вине участника. В силу п.3 Правил оценка - процесс выявления по критериям оценки и в порядке, установленном в документации о закупке, лучших условий исполнения контракта, указанных в заявках (предложениях) участников закупки, которые не были отклонены. Таким образом для Заказчика лучшим опытом выполнения работ является опыт без применения к участнику штрафов и пеней, как, например, по причине задержки сдачи объекта или поставки товара ненадлежащего качества, что в свою очередь свидетельствует о добросовестности исполнения работ. Одновременно с этим добросовестность участника закупки, а следовательно и добросовестное исполнения обязательств описывается положениями ч.3 ст.37 Закона о контрактной системе где указано, что к информации, подтверждающей добросовестность участника закупки, относится информация, в том числе, о контрактах, исполненных без применения к такому участнику неустоек (штрафов, пеней).</w:t>
      </w:r>
    </w:p>
    <w:p>
      <w:pPr>
        <w:pStyle w:val="Style5"/>
        <w:widowControl w:val="0"/>
        <w:keepNext w:val="0"/>
        <w:keepLines w:val="0"/>
        <w:shd w:val="clear" w:color="auto" w:fill="auto"/>
        <w:bidi w:val="0"/>
        <w:jc w:val="both"/>
        <w:spacing w:before="0" w:after="0" w:line="326" w:lineRule="exact"/>
        <w:ind w:left="20" w:right="0" w:firstLine="700"/>
      </w:pPr>
      <w:r>
        <w:rPr>
          <w:lang w:val="ru-RU" w:eastAsia="ru-RU" w:bidi="ru-RU"/>
          <w:w w:val="100"/>
          <w:spacing w:val="0"/>
          <w:color w:val="000000"/>
          <w:position w:val="0"/>
        </w:rPr>
        <w:t>В силу ч.9 ст.105 Закона о контрактной системе обязанность доказывания нарушения Заказчиком своих прав и законных интересов лежит на подателе жалобы, однако в ходе заседания Комиссии Управления, а так же в составе жалоб Заявителем не представлено документов и сведений, свидетельствующих о нарушении Заказчиком норм действующего законодательства, а именно, Заявителем не представлено документов и сведений однозначно свидетельствующих о том, что установленный порядок оценки является неправомерным, не позволяет выявить наилучшее предложение условий исполнения контрактов при проведении закупок, оставляет оценку заявок на субъективное усмотрение конкурсной комиссии Заказчика или каким-либо иным образом нарушает требования Закона о контрактной системе.</w:t>
      </w:r>
    </w:p>
    <w:p>
      <w:pPr>
        <w:pStyle w:val="Style5"/>
        <w:widowControl w:val="0"/>
        <w:keepNext w:val="0"/>
        <w:keepLines w:val="0"/>
        <w:shd w:val="clear" w:color="auto" w:fill="auto"/>
        <w:bidi w:val="0"/>
        <w:jc w:val="both"/>
        <w:spacing w:before="0" w:after="0" w:line="326" w:lineRule="exact"/>
        <w:ind w:left="20" w:right="40" w:firstLine="700"/>
      </w:pPr>
      <w:r>
        <w:rPr>
          <w:lang w:val="ru-RU" w:eastAsia="ru-RU" w:bidi="ru-RU"/>
          <w:w w:val="100"/>
          <w:spacing w:val="0"/>
          <w:color w:val="000000"/>
          <w:position w:val="0"/>
        </w:rPr>
        <w:t>На основании вышеизложенного Комиссия Управления приходит к выводу, что требование порядка оценки по показателю «Опыт участника по успешному выполнению работ сопоставимого характера и объема» об отсутствии применения мер ответственности за неисполнение (ненадлежащее исполнение) обязательств по контракту нацелено на выявление лучшего предложения исполнения контракту и не противоречит положениям Закона о контрактной системе.</w:t>
      </w:r>
    </w:p>
    <w:p>
      <w:pPr>
        <w:pStyle w:val="Style5"/>
        <w:widowControl w:val="0"/>
        <w:keepNext w:val="0"/>
        <w:keepLines w:val="0"/>
        <w:shd w:val="clear" w:color="auto" w:fill="auto"/>
        <w:bidi w:val="0"/>
        <w:jc w:val="both"/>
        <w:spacing w:before="0" w:after="353" w:line="326" w:lineRule="exact"/>
        <w:ind w:left="20" w:right="4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spacing w:before="0" w:after="295"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9"/>
        </w:numPr>
        <w:tabs>
          <w:tab w:leader="none" w:pos="1347" w:val="left"/>
        </w:tabs>
        <w:widowControl w:val="0"/>
        <w:keepNext w:val="0"/>
        <w:keepLines w:val="0"/>
        <w:shd w:val="clear" w:color="auto" w:fill="auto"/>
        <w:bidi w:val="0"/>
        <w:jc w:val="both"/>
        <w:spacing w:before="0" w:after="0" w:line="331" w:lineRule="exact"/>
        <w:ind w:left="20" w:right="40" w:firstLine="700"/>
      </w:pPr>
      <w:r>
        <w:rPr>
          <w:lang w:val="ru-RU" w:eastAsia="ru-RU" w:bidi="ru-RU"/>
          <w:w w:val="100"/>
          <w:spacing w:val="0"/>
          <w:color w:val="000000"/>
          <w:position w:val="0"/>
        </w:rPr>
        <w:t>Признать жалобу ООО «Межотраслевая Инвестиционная Группа» на действия Администрации поселения Внуковское необоснованной.</w:t>
      </w:r>
    </w:p>
    <w:p>
      <w:pPr>
        <w:pStyle w:val="Style5"/>
        <w:numPr>
          <w:ilvl w:val="0"/>
          <w:numId w:val="9"/>
        </w:numPr>
        <w:tabs>
          <w:tab w:leader="none" w:pos="1347" w:val="left"/>
        </w:tabs>
        <w:widowControl w:val="0"/>
        <w:keepNext w:val="0"/>
        <w:keepLines w:val="0"/>
        <w:shd w:val="clear" w:color="auto" w:fill="auto"/>
        <w:bidi w:val="0"/>
        <w:jc w:val="both"/>
        <w:spacing w:before="0" w:after="304" w:line="331" w:lineRule="exact"/>
        <w:ind w:left="20" w:right="40" w:firstLine="700"/>
      </w:pPr>
      <w:r>
        <w:rPr>
          <w:lang w:val="ru-RU" w:eastAsia="ru-RU" w:bidi="ru-RU"/>
          <w:w w:val="100"/>
          <w:spacing w:val="0"/>
          <w:color w:val="000000"/>
          <w:position w:val="0"/>
        </w:rPr>
        <w:t>Снять ограничения, наложенные на определение поставщика (подрядчика, исполнителя) письмом Московского УФАС России исх.№ЕИ/5752/21 от 03.02.2021.</w:t>
      </w:r>
    </w:p>
    <w:p>
      <w:pPr>
        <w:pStyle w:val="Style5"/>
        <w:widowControl w:val="0"/>
        <w:keepNext w:val="0"/>
        <w:keepLines w:val="0"/>
        <w:shd w:val="clear" w:color="auto" w:fill="auto"/>
        <w:bidi w:val="0"/>
        <w:jc w:val="both"/>
        <w:spacing w:before="0" w:after="47" w:line="326" w:lineRule="exact"/>
        <w:ind w:left="20" w:right="4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574"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Д.А. Сологов</w:t>
      </w:r>
    </w:p>
    <w:p>
      <w:pPr>
        <w:pStyle w:val="Style5"/>
        <w:tabs>
          <w:tab w:leader="none" w:pos="9356" w:val="right"/>
          <w:tab w:leader="none" w:pos="1016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Н.А.</w:t>
        <w:tab/>
        <w:t>Узкий</w:t>
      </w:r>
    </w:p>
    <w:p>
      <w:pPr>
        <w:pStyle w:val="Style5"/>
        <w:widowControl w:val="0"/>
        <w:keepNext w:val="0"/>
        <w:keepLines w:val="0"/>
        <w:shd w:val="clear" w:color="auto" w:fill="auto"/>
        <w:bidi w:val="0"/>
        <w:jc w:val="right"/>
        <w:spacing w:before="0" w:after="1399" w:line="643" w:lineRule="exact"/>
        <w:ind w:left="0" w:right="40" w:firstLine="0"/>
      </w:pPr>
      <w:r>
        <w:rPr>
          <w:lang w:val="ru-RU" w:eastAsia="ru-RU" w:bidi="ru-RU"/>
          <w:w w:val="100"/>
          <w:spacing w:val="0"/>
          <w:color w:val="000000"/>
          <w:position w:val="0"/>
        </w:rPr>
        <w:t>П.А. Ступченко</w:t>
      </w:r>
    </w:p>
    <w:p>
      <w:pPr>
        <w:pStyle w:val="Style11"/>
        <w:widowControl w:val="0"/>
        <w:keepNext w:val="0"/>
        <w:keepLines w:val="0"/>
        <w:shd w:val="clear" w:color="auto" w:fill="auto"/>
        <w:bidi w:val="0"/>
        <w:spacing w:before="0" w:after="0" w:line="170" w:lineRule="exact"/>
        <w:ind w:left="20" w:right="0" w:firstLine="0"/>
      </w:pPr>
      <w:r>
        <w:rPr>
          <w:lang w:val="ru-RU" w:eastAsia="ru-RU" w:bidi="ru-RU"/>
          <w:w w:val="100"/>
          <w:spacing w:val="0"/>
          <w:color w:val="000000"/>
          <w:position w:val="0"/>
        </w:rPr>
        <w:t>Исп. Узкий Н.А. (495) 784-75-05(доб. 077-121)</w:t>
      </w:r>
    </w:p>
    <w:sectPr>
      <w:footnotePr>
        <w:pos w:val="pageBottom"/>
        <w:numFmt w:val="decimal"/>
        <w:numRestart w:val="continuous"/>
      </w:footnotePr>
      <w:type w:val="continuous"/>
      <w:pgSz w:w="11906" w:h="16838"/>
      <w:pgMar w:top="1022" w:left="852" w:right="845" w:bottom="15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3"/>
      <w:numFmt w:val="decimal"/>
      <w:lvlText w:val="05.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3"/>
      <w:numFmt w:val="decimal"/>
      <w:lvlText w:val="28.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140" w:line="326" w:lineRule="exact"/>
      <w:ind w:firstLine="432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before="1020" w:line="0"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