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4" w:line="260" w:lineRule="exact"/>
        <w:ind w:left="5320" w:right="0" w:firstLine="0"/>
      </w:pPr>
      <w:r>
        <w:rPr>
          <w:lang w:val="ru-RU" w:eastAsia="ru-RU" w:bidi="ru-RU"/>
          <w:w w:val="100"/>
          <w:spacing w:val="0"/>
          <w:color w:val="000000"/>
          <w:position w:val="0"/>
        </w:rPr>
        <w:t>ГУП «Мосгортранс»</w:t>
      </w:r>
    </w:p>
    <w:p>
      <w:pPr>
        <w:pStyle w:val="Style5"/>
        <w:widowControl w:val="0"/>
        <w:keepNext w:val="0"/>
        <w:keepLines w:val="0"/>
        <w:shd w:val="clear" w:color="auto" w:fill="auto"/>
        <w:bidi w:val="0"/>
        <w:jc w:val="left"/>
        <w:spacing w:before="0" w:after="338" w:line="307" w:lineRule="exact"/>
        <w:ind w:left="5320" w:right="1080" w:firstLine="0"/>
      </w:pPr>
      <w:r>
        <w:rPr>
          <w:lang w:val="ru-RU" w:eastAsia="ru-RU" w:bidi="ru-RU"/>
          <w:w w:val="100"/>
          <w:spacing w:val="0"/>
          <w:color w:val="000000"/>
          <w:position w:val="0"/>
        </w:rPr>
        <w:t>Раушанская наб., д. 22, корп. 21, стр. 1, г. Москва, 115035</w:t>
      </w:r>
    </w:p>
    <w:p>
      <w:pPr>
        <w:pStyle w:val="Style5"/>
        <w:widowControl w:val="0"/>
        <w:keepNext w:val="0"/>
        <w:keepLines w:val="0"/>
        <w:shd w:val="clear" w:color="auto" w:fill="auto"/>
        <w:bidi w:val="0"/>
        <w:jc w:val="left"/>
        <w:spacing w:before="0" w:after="320" w:line="260" w:lineRule="exact"/>
        <w:ind w:left="5320" w:right="0" w:firstLine="0"/>
      </w:pPr>
      <w:r>
        <w:rPr>
          <w:lang w:val="ru-RU" w:eastAsia="ru-RU" w:bidi="ru-RU"/>
          <w:w w:val="100"/>
          <w:spacing w:val="0"/>
          <w:color w:val="000000"/>
          <w:position w:val="0"/>
        </w:rPr>
        <w:t>ГКУ «ДТЗ»</w:t>
      </w:r>
    </w:p>
    <w:p>
      <w:pPr>
        <w:pStyle w:val="Style5"/>
        <w:widowControl w:val="0"/>
        <w:keepNext w:val="0"/>
        <w:keepLines w:val="0"/>
        <w:shd w:val="clear" w:color="auto" w:fill="auto"/>
        <w:bidi w:val="0"/>
        <w:jc w:val="left"/>
        <w:spacing w:before="0" w:after="342" w:line="312" w:lineRule="exact"/>
        <w:ind w:left="5320" w:right="1080" w:firstLine="0"/>
      </w:pPr>
      <w:r>
        <w:rPr>
          <w:lang w:val="ru-RU" w:eastAsia="ru-RU" w:bidi="ru-RU"/>
          <w:w w:val="100"/>
          <w:spacing w:val="0"/>
          <w:color w:val="000000"/>
          <w:position w:val="0"/>
        </w:rPr>
        <w:t>ул. Щепкина, д. 51/4, стр. 2, г. Москва, 129110</w:t>
      </w:r>
    </w:p>
    <w:p>
      <w:pPr>
        <w:pStyle w:val="Style5"/>
        <w:widowControl w:val="0"/>
        <w:keepNext w:val="0"/>
        <w:keepLines w:val="0"/>
        <w:shd w:val="clear" w:color="auto" w:fill="auto"/>
        <w:bidi w:val="0"/>
        <w:jc w:val="left"/>
        <w:spacing w:before="0" w:after="318" w:line="260" w:lineRule="exact"/>
        <w:ind w:left="5320" w:right="0" w:firstLine="0"/>
      </w:pPr>
      <w:r>
        <w:rPr>
          <w:lang w:val="ru-RU" w:eastAsia="ru-RU" w:bidi="ru-RU"/>
          <w:w w:val="100"/>
          <w:spacing w:val="0"/>
          <w:color w:val="000000"/>
          <w:position w:val="0"/>
        </w:rPr>
        <w:t>ООО «Снабком»</w:t>
      </w:r>
    </w:p>
    <w:p>
      <w:pPr>
        <w:pStyle w:val="Style5"/>
        <w:widowControl w:val="0"/>
        <w:keepNext w:val="0"/>
        <w:keepLines w:val="0"/>
        <w:shd w:val="clear" w:color="auto" w:fill="auto"/>
        <w:bidi w:val="0"/>
        <w:jc w:val="left"/>
        <w:spacing w:before="0" w:after="832" w:line="302" w:lineRule="exact"/>
        <w:ind w:left="5320" w:right="1080" w:firstLine="0"/>
      </w:pPr>
      <w:r>
        <w:rPr>
          <w:lang w:val="ru-RU" w:eastAsia="ru-RU" w:bidi="ru-RU"/>
          <w:w w:val="100"/>
          <w:spacing w:val="0"/>
          <w:color w:val="000000"/>
          <w:position w:val="0"/>
        </w:rPr>
        <w:t>ул. Люблинская, д. 42, эт. 3, оф. Л-318-1, г. Москва, 109387</w:t>
      </w:r>
    </w:p>
    <w:p>
      <w:pPr>
        <w:pStyle w:val="Style8"/>
        <w:tabs>
          <w:tab w:leader="none" w:pos="12428" w:val="right"/>
        </w:tabs>
        <w:widowControl w:val="0"/>
        <w:keepNext w:val="0"/>
        <w:keepLines w:val="0"/>
        <w:shd w:val="clear" w:color="auto" w:fill="auto"/>
        <w:bidi w:val="0"/>
        <w:jc w:val="left"/>
        <w:spacing w:before="0" w:after="0"/>
        <w:ind w:left="2300" w:right="2280" w:firstLine="2080"/>
      </w:pPr>
      <w:r>
        <w:rPr>
          <w:lang w:val="ru-RU" w:eastAsia="ru-RU" w:bidi="ru-RU"/>
          <w:w w:val="100"/>
          <w:spacing w:val="0"/>
          <w:color w:val="000000"/>
          <w:position w:val="0"/>
        </w:rPr>
        <w:t>РЕШЕНИЕ по делу № 077/06/106-1726/2021 о нарушении законодательства о контрактной системе</w:t>
      </w:r>
    </w:p>
    <w:p>
      <w:pPr>
        <w:pStyle w:val="Style8"/>
        <w:numPr>
          <w:ilvl w:val="0"/>
          <w:numId w:val="1"/>
        </w:numPr>
        <w:tabs>
          <w:tab w:leader="none" w:pos="10128" w:val="right"/>
          <w:tab w:leader="none" w:pos="9168"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1" w:y="283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000562722255</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при участии представителей ГУП «Мосгортранс», ООО «Снабком», рассмотрев жалобу ООО «Снабком» (далее — Заявитель) на действия ГУП «Мосгортранс» (далее — Заказчик) при проведении электронного аукциона на право заключения государственного контракта на поставку крепежных изделий для нужд филиала Сокольнический вагоноремонтно-строительный завод «СВАРЗ» ГУП «Мосгортранс» (Закупка № 0373200082120001303) (далее -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w:t>
      </w:r>
      <w:r>
        <w:br w:type="page"/>
      </w:r>
    </w:p>
    <w:p>
      <w:pPr>
        <w:pStyle w:val="Style5"/>
        <w:widowControl w:val="0"/>
        <w:keepNext w:val="0"/>
        <w:keepLines w:val="0"/>
        <w:shd w:val="clear" w:color="auto" w:fill="auto"/>
        <w:bidi w:val="0"/>
        <w:jc w:val="both"/>
        <w:spacing w:before="0" w:after="330" w:line="298" w:lineRule="exact"/>
        <w:ind w:left="20" w:right="20" w:firstLine="0"/>
      </w:pPr>
      <w:r>
        <w:rPr>
          <w:lang w:val="ru-RU" w:eastAsia="ru-RU" w:bidi="ru-RU"/>
          <w:w w:val="100"/>
          <w:spacing w:val="0"/>
          <w:color w:val="000000"/>
          <w:position w:val="0"/>
        </w:rPr>
        <w:t>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10"/>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02.02.2021 №ЕИ/5564/21.</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28.01.2021 №ППУ1 в связи с представлением ненадлежащей банковской гарантии в качестве обеспечения исполнения контракта.</w:t>
      </w:r>
    </w:p>
    <w:p>
      <w:pPr>
        <w:pStyle w:val="Style5"/>
        <w:widowControl w:val="0"/>
        <w:keepNext w:val="0"/>
        <w:keepLines w:val="0"/>
        <w:shd w:val="clear" w:color="auto" w:fill="auto"/>
        <w:bidi w:val="0"/>
        <w:jc w:val="right"/>
        <w:spacing w:before="0" w:after="0" w:line="302" w:lineRule="exact"/>
        <w:ind w:left="0" w:right="20" w:firstLine="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370" w:val="left"/>
        </w:tabs>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№0373200082120001303-3 ООО «Снабком» признано победителем.</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ч.2.1 ст.83.2 Закона о контрактной системе),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а также включения информации о товаре (товарном знаке и (или) конкретных показателях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положениями ч.2 ст.83.2 Закона о контрактной системе Заказчиком посредством функционала электронной торговой площадки направлен проект контракта на подписание победителю аукциона.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Заявитель 25.01.2021, то есть в срок, предусмотренный положениями ч.3 ст.83.2 Закона о контрактной системе, подписал со своей стороны проект контракта с приложением банковской гарантии от 20.01.2021 №1851973, выданной ПАО «Совкомбанк» (далее — Банковская гарантия).</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ч.5 ст.45 Закона о контрактной системе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Комиссией Управления установлено, что п.9.6 проекта контракта аукционной документации предъявлено следующее требование: «Обеспечение исполнения Контракта распространяется на случаи неисполнения или ненадлежащего исполнения Поставщиком обязательств по Контракту, неуплаты Поставщиком неустоек (штрафов, пеней), предусмотренных Контрактом, а также убытков, понесенных Заказчиком в связи с неисполнением или ненадлежащим исполнением Поставщиком своих обязательств по Контракту».</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Вместе с тем п. 2.2 Банковской гарантии, представленной ООО «Снабком» в качестве обеспечения исполнения контракта, предусматривает наличие обязательств гаранта по уплате суммы убытков (за исключением упущенной выгоды) </w:t>
      </w:r>
      <w:r>
        <w:rPr>
          <w:rStyle w:val="CharStyle12"/>
        </w:rPr>
        <w:t>в случае расторжения контракта</w:t>
      </w:r>
      <w:r>
        <w:rPr>
          <w:lang w:val="ru-RU" w:eastAsia="ru-RU" w:bidi="ru-RU"/>
          <w:w w:val="100"/>
          <w:spacing w:val="0"/>
          <w:color w:val="000000"/>
          <w:position w:val="0"/>
        </w:rPr>
        <w:t xml:space="preserve"> по причине его неисполнения или ненадлежащего исполнения Принципалом.</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Таким образом, в соответствии с условиями гарантии обязательства Гаранта возмещение убытков возможно только в случае расторжения контракта по вине Принципала. При этом Заказчик лишен возможности получить денежные средства в пределах суммы причиненных ему убытков без расторжения контракта.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ст. 15 Гражданский кодекса Российской Федерации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таких данных, условие, предусмотренное в пункте 2.2 банкоской гарантии противоречит требованиям документации в части возможности взыскания убытков (упущенной выгоды) в пределах срока действия банковской гарантии в случае, если контракт не расторгнут.</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На заседании Комиссии Управления представитель Заявителя пояснил, что спорная гарантия была направлена ответственному исполнителю Заказчика на согласование, а именно старшему специалисту по закупкам отдела методического обеспечения закупочной деятельности А.И. Чекрыгину по электронной почте: </w:t>
      </w:r>
      <w:r>
        <w:fldChar w:fldCharType="begin"/>
      </w:r>
      <w:r>
        <w:rPr>
          <w:color w:val="000000"/>
        </w:rPr>
        <w:instrText> HYPERLINK "mailto:chekrygin_ai.svarz@mosgortrans.ru" </w:instrText>
      </w:r>
      <w:r>
        <w:fldChar w:fldCharType="separate"/>
      </w:r>
      <w:r>
        <w:rPr>
          <w:rStyle w:val="Hyperlink"/>
          <w:lang w:val="en-US" w:eastAsia="en-US" w:bidi="en-US"/>
          <w:w w:val="100"/>
          <w:spacing w:val="0"/>
          <w:position w:val="0"/>
        </w:rPr>
        <w:t>chekrygin_ai.svarz@mosgortrans.ru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Вместе с тем Комиссия Управления отмечает, что Законом о контрактной системе не предусмотрена обязанность Заказчика в согласовании банковской гарантии. Обеспечение исполнения контракта в силу требований законодательства о контрактной системе является бременем победителя закупочной процедуры и корректность такого обеспечения находится к поле ответственности победителя закупки. Также Комиссия Управления отмечает, что Закон о контрактной системе не содержит в себе нормы, которые обеспечивали бы возможность победителю закупки на этапе заключения контракта в рамках правового поля вести диалог с Заказчиком за пределами функционала Единой информационной системы.</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Одновременно с этим на заседании Комиссии Управления установлено, что решение по размещению протокола признания участника уклонившимся от заключения контракта в связи с представлением ненадлежащей банковской гарантии в качестве обеспечения исполнения контракта принималось коллегиально членами единой комиссии Заказчика. При этом указанный Заявителем сотрудник ГУП «Мосгортранс» А.И. Чекрыгин не входит в состав единой комиссии Заказчика и не наделен какими-либо специальными полномочиями. Объективных причин</w:t>
      </w:r>
      <w:r>
        <w:br w:type="page"/>
      </w:r>
    </w:p>
    <w:p>
      <w:pPr>
        <w:pStyle w:val="Style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считать иначе в силу Закона о контрактной системе у Заявителя не имелось.</w:t>
      </w:r>
    </w:p>
    <w:p>
      <w:pPr>
        <w:pStyle w:val="Style5"/>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5"/>
        </w:numPr>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 xml:space="preserve"> отсутствие информации о банковской гарантии в реестре банковских гарантий;</w:t>
      </w:r>
    </w:p>
    <w:p>
      <w:pPr>
        <w:pStyle w:val="Style5"/>
        <w:numPr>
          <w:ilvl w:val="0"/>
          <w:numId w:val="5"/>
        </w:numPr>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 xml:space="preserve"> несоответствие банковской гарантии условиям, указанным в ч.2 и 3 ст. 45 Закона о контрактной системе;</w:t>
      </w:r>
    </w:p>
    <w:p>
      <w:pPr>
        <w:pStyle w:val="Style5"/>
        <w:numPr>
          <w:ilvl w:val="0"/>
          <w:numId w:val="5"/>
        </w:numPr>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Таким образом, Комиссия Управления приходит к выводу о необоснованности доводов жалобы, поскольку у Заказчика имелись основания для признания банковской гарантии не соответствующей требованиям аукционной документации.</w:t>
      </w:r>
    </w:p>
    <w:p>
      <w:pPr>
        <w:pStyle w:val="Style5"/>
        <w:widowControl w:val="0"/>
        <w:keepNext w:val="0"/>
        <w:keepLines w:val="0"/>
        <w:shd w:val="clear" w:color="auto" w:fill="auto"/>
        <w:bidi w:val="0"/>
        <w:jc w:val="both"/>
        <w:spacing w:before="0" w:after="338" w:line="307"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8"/>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Р Е Ш И Л А:</w:t>
      </w:r>
    </w:p>
    <w:p>
      <w:pPr>
        <w:pStyle w:val="Style5"/>
        <w:numPr>
          <w:ilvl w:val="0"/>
          <w:numId w:val="7"/>
        </w:numPr>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 xml:space="preserve"> Признать жалобу ООО «Снабком» на действия ГУП «Мосгортранс» необоснованной.</w:t>
      </w:r>
    </w:p>
    <w:p>
      <w:pPr>
        <w:pStyle w:val="Style5"/>
        <w:numPr>
          <w:ilvl w:val="0"/>
          <w:numId w:val="7"/>
        </w:numPr>
        <w:widowControl w:val="0"/>
        <w:keepNext w:val="0"/>
        <w:keepLines w:val="0"/>
        <w:shd w:val="clear" w:color="auto" w:fill="auto"/>
        <w:bidi w:val="0"/>
        <w:jc w:val="both"/>
        <w:spacing w:before="0" w:after="304" w:line="302" w:lineRule="exact"/>
        <w:ind w:left="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02.02.2021 №ЕИ/5564/21.</w:t>
      </w:r>
    </w:p>
    <w:p>
      <w:pPr>
        <w:pStyle w:val="Style5"/>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647" w:line="260" w:lineRule="exact"/>
        <w:ind w:left="0" w:right="0" w:firstLine="0"/>
      </w:pPr>
      <w:r>
        <w:rPr>
          <w:lang w:val="ru-RU" w:eastAsia="ru-RU" w:bidi="ru-RU"/>
          <w:w w:val="100"/>
          <w:spacing w:val="0"/>
          <w:color w:val="000000"/>
          <w:position w:val="0"/>
        </w:rPr>
        <w:t>гл. 24 АПК РФ.</w:t>
      </w:r>
    </w:p>
    <w:p>
      <w:pPr>
        <w:pStyle w:val="Style5"/>
        <w:framePr w:h="245" w:wrap="around" w:vAnchor="text" w:hAnchor="margin" w:x="8349" w:y="1"/>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5"/>
        <w:framePr w:h="250" w:wrap="around" w:vAnchor="text" w:hAnchor="margin" w:x="8215" w:y="1"/>
        <w:widowControl w:val="0"/>
        <w:keepNext w:val="0"/>
        <w:keepLines w:val="0"/>
        <w:shd w:val="clear" w:color="auto" w:fill="auto"/>
        <w:bidi w:val="0"/>
        <w:jc w:val="left"/>
        <w:spacing w:before="0" w:after="0" w:line="240" w:lineRule="exact"/>
        <w:ind w:left="100" w:right="0" w:firstLine="0"/>
      </w:pPr>
      <w:r>
        <w:rPr>
          <w:rStyle w:val="CharStyle6"/>
          <w:spacing w:val="0"/>
        </w:rPr>
        <w:t>А.С. Спирякова</w:t>
      </w:r>
    </w:p>
    <w:p>
      <w:pPr>
        <w:pStyle w:val="Style5"/>
        <w:framePr w:h="240" w:wrap="around" w:vAnchor="text" w:hAnchor="margin" w:x="8363" w:y="644"/>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1528" w:line="260" w:lineRule="exact"/>
        <w:ind w:left="0" w:right="0" w:firstLine="0"/>
      </w:pPr>
      <w:r>
        <w:rPr>
          <w:lang w:val="ru-RU" w:eastAsia="ru-RU" w:bidi="ru-RU"/>
          <w:w w:val="100"/>
          <w:spacing w:val="0"/>
          <w:color w:val="000000"/>
          <w:position w:val="0"/>
        </w:rPr>
        <w:t>Член Комиссии:</w:t>
      </w:r>
    </w:p>
    <w:p>
      <w:pPr>
        <w:pStyle w:val="Style14"/>
        <w:widowControl w:val="0"/>
        <w:keepNext w:val="0"/>
        <w:keepLines w:val="0"/>
        <w:shd w:val="clear" w:color="auto" w:fill="auto"/>
        <w:bidi w:val="0"/>
        <w:jc w:val="left"/>
        <w:spacing w:before="0" w:after="0"/>
        <w:ind w:left="0" w:right="100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51" w:right="839"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3.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7"/>
    <w:rPr>
      <w:lang w:val="ru-RU" w:eastAsia="ru-RU" w:bidi="ru-RU"/>
      <w:i/>
      <w:iCs/>
      <w:w w:val="100"/>
      <w:spacing w:val="0"/>
      <w:color w:val="000000"/>
      <w:position w:val="0"/>
    </w:rPr>
  </w:style>
  <w:style w:type="character" w:customStyle="1" w:styleId="CharStyle13">
    <w:name w:val="Основной текст + 9 pt,Полужирный"/>
    <w:basedOn w:val="CharStyle7"/>
    <w:rPr>
      <w:lang w:val="ru-RU" w:eastAsia="ru-RU" w:bidi="ru-RU"/>
      <w:b/>
      <w:bCs/>
      <w:sz w:val="18"/>
      <w:szCs w:val="18"/>
      <w:w w:val="100"/>
      <w:spacing w:val="0"/>
      <w:color w:val="000000"/>
      <w:position w:val="0"/>
    </w:rPr>
  </w:style>
  <w:style w:type="character" w:customStyle="1" w:styleId="CharStyle15">
    <w:name w:val="Основной текст (3)_"/>
    <w:basedOn w:val="DefaultParagraphFont"/>
    <w:link w:val="Style14"/>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84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162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