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66" w:left="2388" w:right="8555" w:bottom="119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07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0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103" w:line="300" w:lineRule="exact"/>
        <w:ind w:left="0" w:right="0" w:firstLine="0"/>
      </w:pPr>
      <w:bookmarkStart w:id="0" w:name="bookmark0"/>
      <w:r>
        <w:rPr>
          <w:rStyle w:val="CharStyle9"/>
          <w:i/>
          <w:iCs/>
        </w:rPr>
        <w:t>Ж £&gt;Я. М)Л</w:t>
      </w:r>
      <w:r>
        <w:rPr>
          <w:rStyle w:val="CharStyle10"/>
          <w:i w:val="0"/>
          <w:iCs w:val="0"/>
        </w:rPr>
        <w:t xml:space="preserve"> </w:t>
      </w:r>
      <w:r>
        <w:rPr>
          <w:rStyle w:val="CharStyle11"/>
          <w:i w:val="0"/>
          <w:iCs w:val="0"/>
        </w:rPr>
        <w:t xml:space="preserve">№ </w:t>
      </w:r>
      <w:r>
        <w:rPr>
          <w:rStyle w:val="CharStyle9"/>
          <w:i/>
          <w:iCs/>
        </w:rPr>
        <w:t>РЛ-9М&amp;</w:t>
      </w:r>
      <w:bookmarkEnd w:id="0"/>
    </w:p>
    <w:p>
      <w:pPr>
        <w:pStyle w:val="Style12"/>
        <w:tabs>
          <w:tab w:leader="none" w:pos="2043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6"/>
        <w:ind w:left="20" w:right="2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«Техстройпартнер» ул. Власихинская, д. 49/1, оф. 141, Барнаул,656016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bolshunov </w:t>
      </w:r>
      <w:r>
        <w:fldChar w:fldCharType="begin"/>
      </w:r>
      <w:r>
        <w:rPr>
          <w:color w:val="000000"/>
        </w:rPr>
        <w:instrText> HYPERLINK "mailto:1990@bk.ru" </w:instrText>
      </w:r>
      <w:r>
        <w:fldChar w:fldCharType="separate"/>
      </w:r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1</w:t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990@bk.ru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городского поселения города Суровикино Волгоградской области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37" w:line="270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Ленина, 75, г. Суровикино, Суровикинский район, Волгоградская обл., 404412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zakupki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sur@ma il.ru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Волгоградской области «Цент организации закупок» ул. Новороссийская, д. 15,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0"/>
        <w:sectPr>
          <w:type w:val="continuous"/>
          <w:pgSz w:w="11906" w:h="16838"/>
          <w:pgMar w:top="1166" w:left="905" w:right="2655" w:bottom="1195" w:header="0" w:footer="3" w:gutter="0"/>
          <w:rtlGutter w:val="0"/>
          <w:cols w:num="2" w:space="387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Акционерное общество «Электронные торговые системы» 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framePr w:h="235" w:wrap="around" w:vAnchor="text" w:hAnchor="margin" w:x="8557" w:y="116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6"/>
          <w:spacing w:val="0"/>
        </w:rPr>
        <w:t>Волгоград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81" w:line="292" w:lineRule="exact"/>
        <w:ind w:left="1920" w:right="2180" w:firstLine="22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034/06/105-79/2021 о нарушении законодательства о контрактной системе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05 февраля 2021 года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  <w:r>
        <w:br w:type="page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Литвинова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Гейбатовой А.Д.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 с участием: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Зосимовой Е.В. - представителя ГКУ Волгоградской области «Центр организации закупок» на основании доверенности от 10.01.2020 № 1,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587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«Техстройпартнер» вх. № 841 от 01.02.2021 на положения документации аукциона в электронной форме «Реконструкция станции 1-го подъема водозабора г. Суровикино» (номер извещения 0329200062221000015),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01.02.2021 вх. № 841 поступила жалоба ООО «Техстройпартнер» (далее - Заявитель) на положения документации аукциона в электронной форме «Реконструкция станции 1-го подъема водозабора г. Суровикино» (номер извещения 0329200062221000015).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аукционная документация составлена заказчиком - администрация городского округа город Михайловка Волгоградской области (далее - Заказчик) с нарушением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25.01.2021 были опубликованы извещение и документация о проведении аукциона в электронной форме «Реконструкция станции 1-го подъема водозабора г. Суровикино» (номер извещения 0329200062221000015). Начальная (максимальная) цена контракта 63 826 050,00 российских рублей (далее - НМЦК).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первому доводу жалобы в проекте контракта отсутствует условие о том, что результатом выполненной работы по контракту является реконструированный объект капитального строительства, в отношении которого получено заключение органа государственного строительного надзора.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4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4 статьи 110.2 Закона о контрактной системе результатом выполненной работы по контракту, предметом которого является строительство, реконструкция объекта капитального строительства, является построенный и (или) реконструированный объект капитального строительства, в отношении которого получено заключение органа государственного строительного надзора о соответствии построенного и (или) реконструированного объекта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1.2 проекта контракта установлено, что обязательства подрядчика по строительству объекта в соответствии с контрактом признаются выполненными при получении заказчиком заключения органа государственного строительного надзора о соответствии объекта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настоящем случае проект контракта содержит условие о заключении органа государственного строительного надзора о соответствии построенного объекта капитального строительства требованиям проектной документации, в связи с чем довод не находит своего подтверждения и является необоснованным.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следующему доводу жалобы указанный в документации об аукционе график выполнения работ не учитывает требования приказа Минстроя России от 05.06.2018 № 336/пр «Об утверждении Методики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Методике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работ, утвержденной приказом Минстроя России от 05.06.2018 № 336/пр (далее - Приказ № 336/пр, Методика) установлено, что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даты, не позднее которых должны состояться следующие события: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сторонами акта о соответствии состояния земельного участка (объекта капитального строительства, подлежащего реконструкции) условиям контракта;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копии разрешения на строительство, реконструкцию объекта; копии решения собственника имущества о его сносе (при необходимости); копии разрешения на вырубку зеленых и лесных насаждений; копии технических условий и разрешений на временное присоединение объекта к сетям инженерно- технического обеспечения в соответствии с проектом организации строительства;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копий документов, подтверждающих согласование производства отдельных работ, если необходимость такого согласования установлена законодательством Российской Федерации;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акта о соответствии состояния земельного участка условиям контракта при завершении строительства, реконструкции объекта.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представленных документов и информации, размещенной в ЕИС, установлено, что в графике строительно-монтажных работ по объекту капитального строительства: «Реконструкция станции 1-го подъема водозабора г. Суровикино» Приложения № 3 к контракту, сведения, предусмотренные Методикой, утвержденные Приказом № 336/пр содержатся в полном объеме, в связи с чем довод не находит своего подтверждения и является необоснованным.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качестве следующего довода жалобы Заявитель указывает на отсутствие в составе аукционной документации проекта сметы контракта, предусмотренного приказом Министерства строительства и жилищно-коммунального хозяйства Российской Федерации от 23 декабря 2019 г.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 (далее - Приказ № 841/пр).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1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6.1 ст.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8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приложения 2 «Методика составления сметы контракта, предметом которого являются строительство, реконструкция объектов капитального строительства» к приказу Министерства строительства и жилищно-коммунального хозяйства Российской Федерации от 23 декабря 2019 года № 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8 ч. 1 ст. 33 Закона о контрактной системе заказчик при описании 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32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1-3 части 33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0" w:line="299" w:lineRule="exact"/>
        <w:ind w:left="320" w:right="6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вышеизложенное, Комиссия приходит к выводу, что проектом сметы контракта являются размещенные в ЕИС в составе проектной документации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3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сметы.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32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чем, довод Заявителя также не находит своего подтверждения и является необоснованным.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90" w:line="302" w:lineRule="exact"/>
        <w:ind w:left="32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557" w:line="240" w:lineRule="exact"/>
        <w:ind w:left="42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887" w:line="299" w:lineRule="exact"/>
        <w:ind w:left="200" w:right="30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«Техстройпартнер» № 841 от 01.02.2021 на положения документации аукциона в электронной форме «Реконструкция станции 1-го подъема водозабора г. Суровикино» (номер извещения 0329200062221000015) необоснованной.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9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86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832" w:line="295" w:lineRule="exact"/>
        <w:ind w:left="200" w:right="440" w:firstLine="9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3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Гейбатова А. Д. 24-22-64</w:t>
      </w:r>
      <w:r>
        <w:br w:type="page"/>
      </w:r>
    </w:p>
    <w:sectPr>
      <w:type w:val="continuous"/>
      <w:pgSz w:w="11906" w:h="16838"/>
      <w:pgMar w:top="1294" w:left="810" w:right="778" w:bottom="83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20"/>
    </w:rPr>
  </w:style>
  <w:style w:type="character" w:customStyle="1" w:styleId="CharStyle9">
    <w:name w:val="Заголовок №1"/>
    <w:basedOn w:val="CharStyle8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0">
    <w:name w:val="Заголовок №1 + 11 pt,Не курсив,Интервал 0 pt"/>
    <w:basedOn w:val="CharStyle8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1">
    <w:name w:val="Заголовок №1 + 11 pt,Не курсив,Интервал 0 pt"/>
    <w:basedOn w:val="CharStyle8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8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center"/>
      <w:outlineLvl w:val="0"/>
      <w:spacing w:before="180" w:after="180" w:line="0" w:lineRule="exact"/>
    </w:pPr>
    <w:rPr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2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