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93"/>
        <w:ind w:left="5320" w:right="120" w:firstLine="0"/>
      </w:pPr>
      <w:r>
        <w:rPr>
          <w:lang w:val="ru-RU" w:eastAsia="ru-RU" w:bidi="ru-RU"/>
          <w:w w:val="100"/>
          <w:spacing w:val="0"/>
          <w:color w:val="000000"/>
          <w:position w:val="0"/>
        </w:rPr>
        <w:t>ГБОУ «Образовательный центр «Протон»</w:t>
      </w:r>
    </w:p>
    <w:p>
      <w:pPr>
        <w:pStyle w:val="Style5"/>
        <w:widowControl w:val="0"/>
        <w:keepNext w:val="0"/>
        <w:keepLines w:val="0"/>
        <w:shd w:val="clear" w:color="auto" w:fill="auto"/>
        <w:bidi w:val="0"/>
        <w:jc w:val="left"/>
        <w:spacing w:before="0" w:after="353" w:line="326" w:lineRule="exact"/>
        <w:ind w:left="5320" w:right="120" w:firstLine="0"/>
      </w:pPr>
      <w:r>
        <w:rPr>
          <w:lang w:val="ru-RU" w:eastAsia="ru-RU" w:bidi="ru-RU"/>
          <w:w w:val="100"/>
          <w:spacing w:val="0"/>
          <w:color w:val="000000"/>
          <w:position w:val="0"/>
        </w:rPr>
        <w:t xml:space="preserve">Филевский б-р, д. 3, к. 2, г. Москва, 121601, </w:t>
      </w:r>
      <w:r>
        <w:fldChar w:fldCharType="begin"/>
      </w:r>
      <w:r>
        <w:rPr>
          <w:color w:val="000000"/>
        </w:rPr>
        <w:instrText> HYPERLINK "mailto:proton@edu.mos.ru" </w:instrText>
      </w:r>
      <w:r>
        <w:fldChar w:fldCharType="separate"/>
      </w:r>
      <w:r>
        <w:rPr>
          <w:rStyle w:val="Hyperlink"/>
          <w:lang w:val="en-US" w:eastAsia="en-US" w:bidi="en-US"/>
          <w:w w:val="100"/>
          <w:spacing w:val="0"/>
          <w:position w:val="0"/>
        </w:rPr>
        <w:t>proton@edu.mos.ru</w:t>
      </w:r>
      <w:r>
        <w:fldChar w:fldCharType="end"/>
      </w:r>
    </w:p>
    <w:p>
      <w:pPr>
        <w:pStyle w:val="Style5"/>
        <w:widowControl w:val="0"/>
        <w:keepNext w:val="0"/>
        <w:keepLines w:val="0"/>
        <w:shd w:val="clear" w:color="auto" w:fill="auto"/>
        <w:bidi w:val="0"/>
        <w:jc w:val="left"/>
        <w:spacing w:before="0" w:after="307" w:line="260" w:lineRule="exact"/>
        <w:ind w:left="5320" w:right="0" w:firstLine="0"/>
      </w:pPr>
      <w:r>
        <w:rPr>
          <w:lang w:val="ru-RU" w:eastAsia="ru-RU" w:bidi="ru-RU"/>
          <w:w w:val="100"/>
          <w:spacing w:val="0"/>
          <w:color w:val="000000"/>
          <w:position w:val="0"/>
        </w:rPr>
        <w:t>ГКУ Дирекция ДОНМ</w:t>
      </w:r>
    </w:p>
    <w:p>
      <w:pPr>
        <w:pStyle w:val="Style5"/>
        <w:widowControl w:val="0"/>
        <w:keepNext w:val="0"/>
        <w:keepLines w:val="0"/>
        <w:shd w:val="clear" w:color="auto" w:fill="auto"/>
        <w:bidi w:val="0"/>
        <w:jc w:val="left"/>
        <w:spacing w:before="0" w:after="346"/>
        <w:ind w:left="5320" w:right="120" w:firstLine="0"/>
      </w:pPr>
      <w:r>
        <w:rPr>
          <w:lang w:val="ru-RU" w:eastAsia="ru-RU" w:bidi="ru-RU"/>
          <w:w w:val="100"/>
          <w:spacing w:val="0"/>
          <w:color w:val="000000"/>
          <w:position w:val="0"/>
        </w:rPr>
        <w:t xml:space="preserve">ул. Студенческая, д. 37, г. Москва, 121165, </w:t>
      </w:r>
      <w:r>
        <w:fldChar w:fldCharType="begin"/>
      </w:r>
      <w:r>
        <w:rPr>
          <w:color w:val="000000"/>
        </w:rPr>
        <w:instrText> HYPERLINK "mailto:TorlopovMA@edu.mos.ru" </w:instrText>
      </w:r>
      <w:r>
        <w:fldChar w:fldCharType="separate"/>
      </w:r>
      <w:r>
        <w:rPr>
          <w:rStyle w:val="Hyperlink"/>
          <w:lang w:val="en-US" w:eastAsia="en-US" w:bidi="en-US"/>
          <w:w w:val="100"/>
          <w:spacing w:val="0"/>
          <w:position w:val="0"/>
        </w:rPr>
        <w:t>TorlopovMA@edu.mos.ru</w:t>
      </w:r>
      <w:r>
        <w:fldChar w:fldCharType="end"/>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ООО «РУДГЕР»</w:t>
      </w:r>
    </w:p>
    <w:p>
      <w:pPr>
        <w:pStyle w:val="Style5"/>
        <w:widowControl w:val="0"/>
        <w:keepNext w:val="0"/>
        <w:keepLines w:val="0"/>
        <w:shd w:val="clear" w:color="auto" w:fill="auto"/>
        <w:bidi w:val="0"/>
        <w:jc w:val="left"/>
        <w:spacing w:before="0" w:after="349" w:line="322" w:lineRule="exact"/>
        <w:ind w:left="5320" w:right="120" w:firstLine="0"/>
      </w:pPr>
      <w:r>
        <w:rPr>
          <w:lang w:val="ru-RU" w:eastAsia="ru-RU" w:bidi="ru-RU"/>
          <w:w w:val="100"/>
          <w:spacing w:val="0"/>
          <w:color w:val="000000"/>
          <w:position w:val="0"/>
        </w:rPr>
        <w:t xml:space="preserve">ул. К. Хетагурова, д. 20, корп. А, кв. 8, г. Ставрополь, 355035, </w:t>
      </w:r>
      <w:r>
        <w:fldChar w:fldCharType="begin"/>
      </w:r>
      <w:r>
        <w:rPr>
          <w:color w:val="000000"/>
        </w:rPr>
        <w:instrText> HYPERLINK "mailto:rud.finur@gmail.com" </w:instrText>
      </w:r>
      <w:r>
        <w:fldChar w:fldCharType="separate"/>
      </w:r>
      <w:r>
        <w:rPr>
          <w:rStyle w:val="Hyperlink"/>
          <w:lang w:val="en-US" w:eastAsia="en-US" w:bidi="en-US"/>
          <w:w w:val="100"/>
          <w:spacing w:val="0"/>
          <w:position w:val="0"/>
        </w:rPr>
        <w:t>rud.finur@gmail.com</w:t>
      </w:r>
      <w:r>
        <w:fldChar w:fldCharType="end"/>
      </w:r>
      <w:r>
        <w:rPr>
          <w:lang w:val="en-US" w:eastAsia="en-US" w:bidi="en-US"/>
          <w:w w:val="100"/>
          <w:spacing w:val="0"/>
          <w:color w:val="000000"/>
          <w:position w:val="0"/>
        </w:rPr>
        <w:t>, stv.rudger@gmail .com</w:t>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2578" w:line="260" w:lineRule="exact"/>
        <w:ind w:left="5320" w:right="0" w:firstLine="0"/>
      </w:pPr>
      <w:r>
        <w:rPr>
          <w:lang w:val="ru-RU" w:eastAsia="ru-RU" w:bidi="ru-RU"/>
          <w:w w:val="100"/>
          <w:spacing w:val="0"/>
          <w:color w:val="000000"/>
          <w:position w:val="0"/>
        </w:rPr>
        <w:t>60-я Октября пр., д. 9, г. Москва, 117312</w:t>
      </w:r>
    </w:p>
    <w:p>
      <w:pPr>
        <w:pStyle w:val="Style7"/>
        <w:tabs>
          <w:tab w:leader="none" w:pos="10879" w:val="right"/>
          <w:tab w:leader="none" w:pos="11935" w:val="right"/>
        </w:tabs>
        <w:widowControl w:val="0"/>
        <w:keepNext w:val="0"/>
        <w:keepLines w:val="0"/>
        <w:shd w:val="clear" w:color="auto" w:fill="auto"/>
        <w:bidi w:val="0"/>
        <w:jc w:val="left"/>
        <w:spacing w:before="0" w:after="0"/>
        <w:ind w:left="2340" w:right="2360" w:firstLine="2040"/>
      </w:pPr>
      <w:r>
        <w:rPr>
          <w:lang w:val="ru-RU" w:eastAsia="ru-RU" w:bidi="ru-RU"/>
          <w:w w:val="100"/>
          <w:spacing w:val="0"/>
          <w:color w:val="000000"/>
          <w:position w:val="0"/>
        </w:rPr>
        <w:t>РЕШЕНИЕ по делу №077/06/106-1780/2021 о нарушении законодательства о контрактной системе</w:t>
      </w:r>
    </w:p>
    <w:p>
      <w:pPr>
        <w:pStyle w:val="Style7"/>
        <w:numPr>
          <w:ilvl w:val="0"/>
          <w:numId w:val="1"/>
        </w:numPr>
        <w:tabs>
          <w:tab w:leader="none" w:pos="8559" w:val="right"/>
          <w:tab w:leader="none" w:pos="9615" w:val="right"/>
          <w:tab w:leader="none" w:pos="8415"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w:t>
        <w:tab/>
        <w:t>Москва</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34"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А.А. Кутейникова,</w:t>
      </w:r>
    </w:p>
    <w:p>
      <w:pPr>
        <w:pStyle w:val="Style3"/>
        <w:framePr w:w="1349" w:h="427" w:wrap="around" w:vAnchor="text" w:hAnchor="margin" w:x="351" w:y="596"/>
        <w:widowControl w:val="0"/>
        <w:keepNext w:val="0"/>
        <w:keepLines w:val="0"/>
        <w:shd w:val="clear" w:color="auto" w:fill="auto"/>
        <w:bidi w:val="0"/>
        <w:jc w:val="left"/>
        <w:spacing w:before="0" w:after="0" w:line="240" w:lineRule="auto"/>
        <w:ind w:left="0" w:right="0" w:firstLine="0"/>
      </w:pPr>
      <w:r>
        <w:rPr>
          <w:w w:val="100"/>
          <w:spacing w:val="0"/>
          <w:color w:val="000000"/>
          <w:position w:val="0"/>
        </w:rPr>
        <w:t>000156464111</w:t>
      </w:r>
    </w:p>
    <w:p>
      <w:pPr>
        <w:pStyle w:val="Style5"/>
        <w:widowControl w:val="0"/>
        <w:keepNext w:val="0"/>
        <w:keepLines w:val="0"/>
        <w:shd w:val="clear" w:color="auto" w:fill="auto"/>
        <w:bidi w:val="0"/>
        <w:jc w:val="both"/>
        <w:spacing w:before="0" w:after="236" w:line="322" w:lineRule="exact"/>
        <w:ind w:left="20" w:right="0" w:firstLine="560"/>
        <w:sectPr>
          <w:footnotePr>
            <w:pos w:val="pageBottom"/>
            <w:numFmt w:val="decimal"/>
            <w:numRestart w:val="continuous"/>
          </w:footnotePr>
          <w:type w:val="continuous"/>
          <w:pgSz w:w="11906" w:h="16838"/>
          <w:pgMar w:top="669" w:left="845" w:right="855" w:bottom="1168" w:header="0" w:footer="3" w:gutter="0"/>
          <w:rtlGutter w:val="0"/>
          <w:cols w:space="720"/>
          <w:noEndnote/>
          <w:docGrid w:linePitch="360"/>
        </w:sectPr>
      </w:pPr>
      <w:r>
        <w:rPr>
          <w:lang w:val="ru-RU" w:eastAsia="ru-RU" w:bidi="ru-RU"/>
          <w:w w:val="100"/>
          <w:spacing w:val="0"/>
          <w:color w:val="000000"/>
          <w:position w:val="0"/>
        </w:rPr>
        <w:t>Специалиста-эксперта отдела обжалования государственных закупок</w:t>
      </w:r>
    </w:p>
    <w:p>
      <w:pPr>
        <w:pStyle w:val="Style5"/>
        <w:tabs>
          <w:tab w:leader="none" w:pos="620"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В.А. Матвеева,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ГБОУ «Образовательный центр «Протон»: О.Д. Гущиной (по доверенности от</w:t>
      </w:r>
    </w:p>
    <w:p>
      <w:pPr>
        <w:pStyle w:val="Style5"/>
        <w:numPr>
          <w:ilvl w:val="0"/>
          <w:numId w:val="3"/>
        </w:numPr>
        <w:tabs>
          <w:tab w:leader="none" w:pos="137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№01-12/2),</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ООО «РУДГЕР»: Рудь Н.Н., М.В. Малого (по доверенности от 25.12.2020 № 2020/8),</w:t>
      </w:r>
    </w:p>
    <w:p>
      <w:pPr>
        <w:pStyle w:val="Style5"/>
        <w:widowControl w:val="0"/>
        <w:keepNext w:val="0"/>
        <w:keepLines w:val="0"/>
        <w:shd w:val="clear" w:color="auto" w:fill="auto"/>
        <w:bidi w:val="0"/>
        <w:jc w:val="both"/>
        <w:spacing w:before="0" w:after="349" w:line="322" w:lineRule="exact"/>
        <w:ind w:left="20" w:right="20" w:firstLine="560"/>
      </w:pPr>
      <w:r>
        <w:rPr>
          <w:lang w:val="ru-RU" w:eastAsia="ru-RU" w:bidi="ru-RU"/>
          <w:w w:val="100"/>
          <w:spacing w:val="0"/>
          <w:color w:val="000000"/>
          <w:position w:val="0"/>
        </w:rPr>
        <w:t>рассмотрев жалобу ООО «РУДГЕР» (далее - Заявитель) на действия ГБОУ «Образовательный центр «Протон» (далее-Заказчик) при проведении электронного аукциона на право заключения государственного контракта на поставку компьютерной техники (специализированное интерактивное устройство) для ГБОУ Образовательный центр «Протон» в 2021 году (Закупка № 0873500000821000033)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9"/>
        <w:widowControl w:val="0"/>
        <w:keepNext/>
        <w:keepLines/>
        <w:shd w:val="clear" w:color="auto" w:fill="auto"/>
        <w:bidi w:val="0"/>
        <w:jc w:val="left"/>
        <w:spacing w:before="0" w:after="303" w:line="260" w:lineRule="exact"/>
        <w:ind w:left="43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№ЕИ/5683/21 от 02.02.2021.</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numPr>
          <w:ilvl w:val="0"/>
          <w:numId w:val="5"/>
        </w:numPr>
        <w:tabs>
          <w:tab w:leader="none" w:pos="1100"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По мнению Заявителя, Заказчиком сформировано неправомерное описание объекта закупки с использованием дополнительных характеристик, не предусмотренных каталогом товаров, работ, услуг для обеспечения государственных и муниципальных нужд (далее — КТРУ), что противоречит п.5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Правительства № 145), поскольку товары являющиеся объектом закупки включены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силу п.1,п.2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В соответствии с п.10 ст.42 Закона о контрактной системе 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ст.14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Частью 1 статьи 64 Закона о контрактной системе установлено, что документация об электронном аукционе должна содержать информацию, указанную в извещении о проведении такого аукциона.</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 основании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В соответствии с извещением о проведении электронного аукциона от</w:t>
      </w:r>
    </w:p>
    <w:p>
      <w:pPr>
        <w:pStyle w:val="Style5"/>
        <w:numPr>
          <w:ilvl w:val="0"/>
          <w:numId w:val="7"/>
        </w:numPr>
        <w:tabs>
          <w:tab w:leader="none" w:pos="1618"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объектом закупки является поставка компьютерной техники (специализированное интерактивное устройство) для ГБОУ Образовательный центр «Протон» в 2021 году, Заказчику требуются товар, относящийся к коду КТРУ: 26.20.13.000-00000002: «Интерактивная панель».</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Согласно п.14.5 информационной карты аукционной документации Заказчиком не установлены ограничения, предусмотренные постановлением № 878.</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Постановлением Правительства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«и» п.10 Правил формирования КТРУ.</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случаев:</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а)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w:t>
      </w:r>
      <w:r>
        <w:rPr>
          <w:rStyle w:val="CharStyle11"/>
        </w:rPr>
        <w:t xml:space="preserve">устанавливаются </w:t>
      </w:r>
      <w:r>
        <w:rPr>
          <w:lang w:val="ru-RU" w:eastAsia="ru-RU" w:bidi="ru-RU"/>
          <w:w w:val="100"/>
          <w:spacing w:val="0"/>
          <w:color w:val="000000"/>
          <w:position w:val="0"/>
        </w:rPr>
        <w:t>ограничения для целей осуществления закупок для обеспечения государственных и муниципальных нужд, утвержденный постановлением № 878;</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Закона о контрактной системе.</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Таким образом, из п.5 Правил использования КТРУ в редакции постановления</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Правительства Российской Федерации 24.11.2020 № 1909 «О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 и признании утратившими силу отдельных положений актов Правительства Российской Федерации», исключающих неоднозначное трактование смысла данного подпункта и подтверждающих право Заказчика указывать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позицией каталога, если в соответствии с положениями постановления № 878 Заказчиком не установлены ограничения на допуск радиоэлектронной продукции, происходящей из иностранных государств.</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В соответствии с ч.2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На заседании Комиссии Управления представитель Заказчика пояснил, что ввиду того, что ограничения предусмотренные постановлением 878 не установлены по данному аукциону, Заказчик вправе отразить дополнительные характеристики к товарам не предусмотренные позицией КТРУ, при этом обоснование установления данных характеристик приведено в файле «Требования к товарам» («Обоснование применения дополнительных характеристик описания объекта закупок в соответствии с Постановление Правительства РФ от 08 февраля 2017 № 145») размещенном в составе аукционной документации.</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Таким образом, Комиссия Управления приходит к выводу о том, что данный довод жалобы не нашел своего подтверждения и является необоснованным.</w:t>
      </w:r>
    </w:p>
    <w:p>
      <w:pPr>
        <w:pStyle w:val="Style5"/>
        <w:numPr>
          <w:ilvl w:val="0"/>
          <w:numId w:val="5"/>
        </w:numPr>
        <w:tabs>
          <w:tab w:leader="none" w:pos="1080" w:val="left"/>
        </w:tabs>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По мнению Заявителя Заказчиком неправомерно не применен запрет в соответствии с постановление Правительства Российской Федерации от 16.11.2015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(вместе с «Правилами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«Порядком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w:t>
      </w:r>
      <w:r>
        <w:rPr>
          <w:rStyle w:val="CharStyle12"/>
        </w:rPr>
        <w:t>ици</w:t>
      </w:r>
      <w:r>
        <w:rPr>
          <w:lang w:val="ru-RU" w:eastAsia="ru-RU" w:bidi="ru-RU"/>
          <w:w w:val="100"/>
          <w:spacing w:val="0"/>
          <w:color w:val="000000"/>
          <w:position w:val="0"/>
        </w:rPr>
        <w:t>пальных нужд»)» (далее — Постановление №1236), поскольку Заказчиком размещено ненадлежащее обоснование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П.2 Постановления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а)в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б)программное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п. 3 порядка подготовки обоснования невозможности соблюдения запрета на допуск программного обеспечения, происходящего из иностранных государств установленного Постановлением №1236 обоснование невозможности соблюдения запрета на допуск программного обеспечения, происходящего из иностранных государств должно содержать указание на:</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а) обстоятельство, предусмотренное подпунктом "а" или "б" пункта 2 Порядка;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б) класс (классы) программного обеспечения, которому (которым) должно соответствовать программное обеспечение, являющееся объектом закупки;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требования к функциональным, техническим и эксплуатационным характеристикам программного обеспечения, являющегося объектом закупки, установленные заказчиком, с указанием класса (классов), которому (которым) должно соответствовать программное обеспечение;</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г) функциональные, технические и (или) эксплуатационные характеристики (в том числе их параметры), по которым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не соответствует установленным заказчиком требованиям к программному обеспечению, являющемуся объектом закупки, по каждому программному обеспечению (с указанием названия программного обеспечения),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являющееся объектом закупки (только для закупки в случае, предусмотренном подпунктом "б" пункта 2 Порядка).</w:t>
      </w:r>
    </w:p>
    <w:p>
      <w:pPr>
        <w:pStyle w:val="Style5"/>
        <w:tabs>
          <w:tab w:leader="none" w:pos="5712" w:val="left"/>
        </w:tabs>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Комиссией Управления установлено, что в составе аукционной документации размещено обоснование невозможности соблюдения запрета на допуск программного обеспечения, происходящего из иностранных государств, в котором указано следующее обстоятельство, обуславливающее невозможность соблюдения запрета: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w:t>
        <w:tab/>
        <w:t>характеристикам не соответствует</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установленным заказчиком требованиям к планируемому закупке программному обеспечению.</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Также данное обоснование содержит указание, что требования к функциональным, техническим и эксплуатационным характеристикам программного обеспечения, являющегося объектом закупки приведены в приложении к настоящему обоснованию. Вместе с тем указанное приложение отсутствует в составе аукционной документации.</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Таким образом размещенное Заказчиком обоснование не содержит характеристик предусмотренных пп. «в» и «г» п. 3 порядка подготовки обоснования невозможности соблюдения запрета на допуск программного обеспечения, происходящего из иностранных государств установленного Постановлением №1236.</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На основании выше изложенного Комиссия Управления приходит к выводу об обоснованности данного довода жалобы и нарушении Заказчиком п.10 ст.42, ч.1 ст.64, ч.3 ст.14 Закона о контрактной системе.</w:t>
      </w:r>
    </w:p>
    <w:p>
      <w:pPr>
        <w:pStyle w:val="Style5"/>
        <w:numPr>
          <w:ilvl w:val="0"/>
          <w:numId w:val="5"/>
        </w:numPr>
        <w:tabs>
          <w:tab w:leader="none" w:pos="1090" w:val="left"/>
        </w:tabs>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Также на заседании Комиссии Управления представители Заявителя указали на то, что Заказчиком допущено нарушение положений Закона о контрактной системе, а именно требуемое предустановленное прикладное программное обеспечение, имеющее встроенные средства создания и редактирования образовательных материалов в форматах, совместимых с ПО</w:t>
      </w:r>
    </w:p>
    <w:p>
      <w:pPr>
        <w:pStyle w:val="Style5"/>
        <w:widowControl w:val="0"/>
        <w:keepNext w:val="0"/>
        <w:keepLines w:val="0"/>
        <w:shd w:val="clear" w:color="auto" w:fill="auto"/>
        <w:bidi w:val="0"/>
        <w:jc w:val="both"/>
        <w:spacing w:before="0" w:after="0" w:line="322" w:lineRule="exact"/>
        <w:ind w:left="20" w:right="20" w:firstLine="0"/>
      </w:pPr>
      <w:r>
        <w:rPr>
          <w:lang w:val="en-US" w:eastAsia="en-US" w:bidi="en-US"/>
          <w:w w:val="100"/>
          <w:spacing w:val="0"/>
          <w:color w:val="000000"/>
          <w:position w:val="0"/>
        </w:rPr>
        <w:t xml:space="preserve">SMART NOTEBOOK (SMART Technologies, </w:t>
      </w:r>
      <w:r>
        <w:rPr>
          <w:lang w:val="ru-RU" w:eastAsia="ru-RU" w:bidi="ru-RU"/>
          <w:w w:val="100"/>
          <w:spacing w:val="0"/>
          <w:color w:val="000000"/>
          <w:position w:val="0"/>
        </w:rPr>
        <w:t xml:space="preserve">Канада) и </w:t>
      </w:r>
      <w:r>
        <w:rPr>
          <w:lang w:val="en-US" w:eastAsia="en-US" w:bidi="en-US"/>
          <w:w w:val="100"/>
          <w:spacing w:val="0"/>
          <w:color w:val="000000"/>
          <w:position w:val="0"/>
        </w:rPr>
        <w:t xml:space="preserve">Promethean Activelnspire </w:t>
      </w:r>
      <w:r>
        <w:rPr>
          <w:lang w:val="ru-RU" w:eastAsia="ru-RU" w:bidi="ru-RU"/>
          <w:w w:val="100"/>
          <w:spacing w:val="0"/>
          <w:color w:val="000000"/>
          <w:position w:val="0"/>
        </w:rPr>
        <w:t xml:space="preserve">(Великобритания) </w:t>
      </w:r>
      <w:r>
        <w:rPr>
          <w:lang w:val="en-US" w:eastAsia="en-US" w:bidi="en-US"/>
          <w:w w:val="100"/>
          <w:spacing w:val="0"/>
          <w:color w:val="000000"/>
          <w:position w:val="0"/>
        </w:rPr>
        <w:t xml:space="preserve">(.flp, .flipchart </w:t>
      </w:r>
      <w:r>
        <w:rPr>
          <w:lang w:val="ru-RU" w:eastAsia="ru-RU" w:bidi="ru-RU"/>
          <w:w w:val="100"/>
          <w:spacing w:val="0"/>
          <w:color w:val="000000"/>
          <w:position w:val="0"/>
        </w:rPr>
        <w:t xml:space="preserve">и </w:t>
      </w:r>
      <w:r>
        <w:rPr>
          <w:lang w:val="en-US" w:eastAsia="en-US" w:bidi="en-US"/>
          <w:w w:val="100"/>
          <w:spacing w:val="0"/>
          <w:color w:val="000000"/>
          <w:position w:val="0"/>
        </w:rPr>
        <w:t xml:space="preserve">.notebook, .xbk) </w:t>
      </w:r>
      <w:r>
        <w:rPr>
          <w:lang w:val="ru-RU" w:eastAsia="ru-RU" w:bidi="ru-RU"/>
          <w:w w:val="100"/>
          <w:spacing w:val="0"/>
          <w:color w:val="000000"/>
          <w:position w:val="0"/>
        </w:rPr>
        <w:t>отсутствует на рынке, так как указанные производители предоставляют свое программное обеспечение исключительно в комплекте со своей продукцией и не представляют его сторонним компаниям, в связи с чем отсутствует программное обеспечение поддерживающее одновременно оба указанных формата.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Также в составе документации Заказчиком не приведено обоснование использования конкретного программного обеспечения </w:t>
      </w:r>
      <w:r>
        <w:rPr>
          <w:lang w:val="en-US" w:eastAsia="en-US" w:bidi="en-US"/>
          <w:w w:val="100"/>
          <w:spacing w:val="0"/>
          <w:color w:val="000000"/>
          <w:position w:val="0"/>
        </w:rPr>
        <w:t xml:space="preserve">(Microsoft Windows </w:t>
      </w:r>
      <w:r>
        <w:rPr>
          <w:lang w:val="ru-RU" w:eastAsia="ru-RU" w:bidi="ru-RU"/>
          <w:w w:val="100"/>
          <w:spacing w:val="0"/>
          <w:color w:val="000000"/>
          <w:position w:val="0"/>
        </w:rPr>
        <w:t>10 Профессиональная 64-разрядная).</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На заседании Комиссии Управления представителем Заказчика не представлена информации о наличии на рынке программного обеспечения поддерживающего взаимодействие одновременно ПО </w:t>
      </w:r>
      <w:r>
        <w:rPr>
          <w:lang w:val="en-US" w:eastAsia="en-US" w:bidi="en-US"/>
          <w:w w:val="100"/>
          <w:spacing w:val="0"/>
          <w:color w:val="000000"/>
          <w:position w:val="0"/>
        </w:rPr>
        <w:t xml:space="preserve">SMART NOTEBOOK </w:t>
      </w:r>
      <w:r>
        <w:rPr>
          <w:lang w:val="ru-RU" w:eastAsia="ru-RU" w:bidi="ru-RU"/>
          <w:w w:val="100"/>
          <w:spacing w:val="0"/>
          <w:color w:val="000000"/>
          <w:position w:val="0"/>
        </w:rPr>
        <w:t xml:space="preserve">и </w:t>
      </w:r>
      <w:r>
        <w:rPr>
          <w:lang w:val="en-US" w:eastAsia="en-US" w:bidi="en-US"/>
          <w:w w:val="100"/>
          <w:spacing w:val="0"/>
          <w:color w:val="000000"/>
          <w:position w:val="0"/>
        </w:rPr>
        <w:t xml:space="preserve">Promethean ActiveInspire, </w:t>
      </w:r>
      <w:r>
        <w:rPr>
          <w:lang w:val="ru-RU" w:eastAsia="ru-RU" w:bidi="ru-RU"/>
          <w:w w:val="100"/>
          <w:spacing w:val="0"/>
          <w:color w:val="000000"/>
          <w:position w:val="0"/>
        </w:rPr>
        <w:t>равно как и не представлено обоснование необходимости указания конкретного программного обеспечения.</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Таким образом Комиссия Управления приходит к выводу о обоснованности данного довода жалобы и нарушении Заказчиком п. 1 ч.1 ст. 33 Закона о контрактной системе.</w:t>
      </w:r>
    </w:p>
    <w:p>
      <w:pPr>
        <w:pStyle w:val="Style5"/>
        <w:numPr>
          <w:ilvl w:val="0"/>
          <w:numId w:val="5"/>
        </w:numPr>
        <w:tabs>
          <w:tab w:leader="none" w:pos="1105"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доводам жалобы Заказчиком в составе документации в единой информационной системе в сфере закупок также размещено неправомерное обоснование невозможности соблюдения ограничения на допуск радиоэлектронной проду</w:t>
      </w:r>
      <w:r>
        <w:rPr>
          <w:rStyle w:val="CharStyle12"/>
        </w:rPr>
        <w:t>кци</w:t>
      </w:r>
      <w:r>
        <w:rPr>
          <w:lang w:val="ru-RU" w:eastAsia="ru-RU" w:bidi="ru-RU"/>
          <w:w w:val="100"/>
          <w:spacing w:val="0"/>
          <w:color w:val="000000"/>
          <w:position w:val="0"/>
        </w:rPr>
        <w:t>и, происходящей из иностранных государств, для целей осуществления закупок для обеспечения государственных и муниципальных нужд.</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Так в единый реестр российской радиоэлектронной продукции включена информация о продукции Российского производства по коду ОКПД2 26.20.13.000: интерактивная панель </w:t>
      </w:r>
      <w:r>
        <w:rPr>
          <w:lang w:val="en-US" w:eastAsia="en-US" w:bidi="en-US"/>
          <w:w w:val="100"/>
          <w:spacing w:val="0"/>
          <w:color w:val="000000"/>
          <w:position w:val="0"/>
        </w:rPr>
        <w:t xml:space="preserve">Nextouch NextPanel </w:t>
      </w:r>
      <w:r>
        <w:rPr>
          <w:lang w:val="ru-RU" w:eastAsia="ru-RU" w:bidi="ru-RU"/>
          <w:w w:val="100"/>
          <w:spacing w:val="0"/>
          <w:color w:val="000000"/>
          <w:position w:val="0"/>
        </w:rPr>
        <w:t xml:space="preserve">МРТ1 (на основе материнской платы </w:t>
      </w:r>
      <w:r>
        <w:rPr>
          <w:lang w:val="en-US" w:eastAsia="en-US" w:bidi="en-US"/>
          <w:w w:val="100"/>
          <w:spacing w:val="0"/>
          <w:color w:val="000000"/>
          <w:position w:val="0"/>
        </w:rPr>
        <w:t xml:space="preserve">AQH310CM </w:t>
      </w:r>
      <w:r>
        <w:rPr>
          <w:lang w:val="ru-RU" w:eastAsia="ru-RU" w:bidi="ru-RU"/>
          <w:w w:val="100"/>
          <w:spacing w:val="0"/>
          <w:color w:val="000000"/>
          <w:position w:val="0"/>
        </w:rPr>
        <w:t>производства ООО «ПК Аквариус»), производства ООО "Некст-Т", относящееся к тому же классу, что и закупаемая Заказчиком продукция, а именно «радиоэлектронная продукция», что свидетельствует о некорректности обоснования, согласно которому Заказчиком не установлено ограничение на основании случая предусмотренного пп. «а» п. 2 Порядка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утвержденного постановлением №878.</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п.4 постановления №878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5"/>
        <w:tabs>
          <w:tab w:leader="none" w:pos="3643" w:val="left"/>
          <w:tab w:leader="none" w:pos="6101" w:val="left"/>
        </w:tabs>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П.5 постановления №878 установлено, что подтверждением случая, установленного пунктом</w:t>
        <w:tab/>
        <w:t>4 постановления</w:t>
        <w:tab/>
        <w:t>№878, является обоснование</w:t>
      </w:r>
    </w:p>
    <w:p>
      <w:pPr>
        <w:pStyle w:val="Style5"/>
        <w:tabs>
          <w:tab w:leader="none" w:pos="3643" w:val="left"/>
          <w:tab w:leader="none" w:pos="6101"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w:t>
        <w:tab/>
        <w:t>радиоэлектронной</w:t>
        <w:tab/>
        <w:t>продукции, происходящей из</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w:t>
      </w:r>
    </w:p>
    <w:p>
      <w:pPr>
        <w:pStyle w:val="Style5"/>
        <w:tabs>
          <w:tab w:leader="none" w:pos="3643" w:val="left"/>
          <w:tab w:leader="none" w:pos="6101" w:val="left"/>
        </w:tabs>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Согласно п.2 Порядка подготовки обоснования невозможности соблюдения ограничения на допуск</w:t>
        <w:tab/>
        <w:t>радиоэлектронной</w:t>
        <w:tab/>
        <w:t>продукции, происходящей из</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иностранных государств, для целей осуществления закупок для обеспечения государственных и муниципальных нужд утвержденного постановлением №878 обоснование подготавливается заказчиком при осуществлении закупки радиоэлектронной продукции в следующих случаях:</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а) в реестре отсутствуют сведения о радиоэлектронной продукции, соответствующей тому же классу (функциональному назначению) радиоэлектронной продукции, что и радиоэлектронная продукция, планируемая к закупке;</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б) радиоэлектронная продукция, включенная в реестр и соответствующая тому же классу радиоэлектронной продукции, что и радиоэлектронная продукция, планируемая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5"/>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В силу п. 3 указанного порядка обоснование должно содержать указание на:</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а) обстоятельство, предусмотренное подпунктом "а" или "б" пункта 2 Порядка;</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б) класс (классы) радиоэлектронной продукции (функционального назначения), которому (которым) должна соответствовать радиоэлектронная продукция, являющаяся объектом закупки;</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в) требования к функциональным, техническим и эксплуатационным характеристикам радиоэлектронной продукции, являющейся объектом закупки, установленные заказчиком, с указанием класса (классов), которому (которым) должна соответствовать радиоэлектронная продукция;</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г) функциональные, технические и (или) эксплуатационные характеристики (в том числе их параметры), по которым радиоэлектронная продукция, сведения о которой включены в реестр, не соответствует установленным заказчиком требованиям к радиоэлектронной продукции, являющейся объектом закупки, по каждому наименованию радиоэлектронной продукции (с указанием названия радиоэлектронной продукции), сведения о котором включены в реестр и которое соответствует тому же классу радиоэлектронной продукции, что и радиоэлектронная продукция, являющаяся объектом закупки (только для закупки в случае, предусмотренном подпунктом "б" пункта 2 Порядка).</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На заседании Комиссии Управления представитель Заказчика затруднился пояснить причины применения пп. «а» п.2 Порядка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утвержденного постановлением №878 с учетом наличия в реестре российской радиоэлектронной продукции информации о продукции российского производителя того же класса, что и закупаемая Заказчиком.</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Таким образом, с учетом факта наличия в реестре российской радиоэлектронной продукции информации о продукции российского производителя того же класса, что и закупаемая Заказчиком, а также отсутствия в размещенном обосновании информации предусмотренной пп. «г» п.3 Порядка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утвержденного постановлением №878 данное обоснование не соответствует требованиям постановления №878.</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На основании представленных документов и сведений, а так же с учетом пояснений представителей Заказчика и Заявителя Комиссия Управления приходит к выводу о нарушении Заказчиком положений п.10 ст.42, ч.1 ст.64, ч.3 ст.14 Закона о контрактной системе при формировании аукционной документации.</w:t>
      </w:r>
    </w:p>
    <w:p>
      <w:pPr>
        <w:pStyle w:val="Style5"/>
        <w:widowControl w:val="0"/>
        <w:keepNext w:val="0"/>
        <w:keepLines w:val="0"/>
        <w:shd w:val="clear" w:color="auto" w:fill="auto"/>
        <w:bidi w:val="0"/>
        <w:jc w:val="both"/>
        <w:spacing w:before="0" w:after="0" w:line="322" w:lineRule="exact"/>
        <w:ind w:left="0" w:right="20" w:firstLine="560"/>
        <w:sectPr>
          <w:pgSz w:w="11906" w:h="16838"/>
          <w:pgMar w:top="1744" w:left="851" w:right="839" w:bottom="1936"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9"/>
        <w:widowControl w:val="0"/>
        <w:keepNext/>
        <w:keepLines/>
        <w:shd w:val="clear" w:color="auto" w:fill="auto"/>
        <w:bidi w:val="0"/>
        <w:jc w:val="left"/>
        <w:spacing w:before="0" w:after="303" w:line="260" w:lineRule="exact"/>
        <w:ind w:left="4520" w:right="0" w:firstLine="0"/>
      </w:pPr>
      <w:bookmarkStart w:id="1" w:name="bookmark1"/>
      <w:r>
        <w:rPr>
          <w:lang w:val="ru-RU" w:eastAsia="ru-RU" w:bidi="ru-RU"/>
          <w:w w:val="100"/>
          <w:spacing w:val="0"/>
          <w:color w:val="000000"/>
          <w:position w:val="0"/>
        </w:rPr>
        <w:t>Р Е Ш И Л А:</w:t>
      </w:r>
      <w:bookmarkEnd w:id="1"/>
    </w:p>
    <w:p>
      <w:pPr>
        <w:pStyle w:val="Style5"/>
        <w:numPr>
          <w:ilvl w:val="0"/>
          <w:numId w:val="9"/>
        </w:numPr>
        <w:tabs>
          <w:tab w:leader="none" w:pos="10145" w:val="right"/>
        </w:tabs>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Признать жалобу ООО «РУДГЕР» на действия ГБОУ «Образовательный центр «Протон» обоснованной в части размещения некорректных обоснований неприменения ограничений, установленных постановлением №878 и запрета установленного</w:t>
        <w:tab/>
        <w:t>постановлением 1236, а так же в части установления неправомерных требований к товарам.</w:t>
      </w:r>
    </w:p>
    <w:p>
      <w:pPr>
        <w:pStyle w:val="Style5"/>
        <w:numPr>
          <w:ilvl w:val="0"/>
          <w:numId w:val="9"/>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Признать в действиях Заказчика нарушение п.10 ст.42, ч.1 ст.64, ч.3 ст.14, п.1 ч.1 ст.33 Закона о контрактной системе</w:t>
      </w:r>
    </w:p>
    <w:p>
      <w:pPr>
        <w:pStyle w:val="Style5"/>
        <w:numPr>
          <w:ilvl w:val="0"/>
          <w:numId w:val="9"/>
        </w:numPr>
        <w:widowControl w:val="0"/>
        <w:keepNext w:val="0"/>
        <w:keepLines w:val="0"/>
        <w:shd w:val="clear" w:color="auto" w:fill="auto"/>
        <w:bidi w:val="0"/>
        <w:jc w:val="both"/>
        <w:spacing w:before="0" w:after="600" w:line="322" w:lineRule="exact"/>
        <w:ind w:left="0" w:right="20" w:firstLine="5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both"/>
        <w:spacing w:before="0" w:after="347" w:line="322" w:lineRule="exact"/>
        <w:ind w:left="0" w:right="20" w:firstLine="5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861" w:val="right"/>
          <w:tab w:leader="none" w:pos="10145"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8582"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В.А. Матвеев</w:t>
      </w:r>
    </w:p>
    <w:p>
      <w:pPr>
        <w:pStyle w:val="Style5"/>
        <w:widowControl w:val="0"/>
        <w:keepNext w:val="0"/>
        <w:keepLines w:val="0"/>
        <w:shd w:val="clear" w:color="auto" w:fill="auto"/>
        <w:bidi w:val="0"/>
        <w:jc w:val="right"/>
        <w:spacing w:before="0" w:after="4534" w:line="638" w:lineRule="exact"/>
        <w:ind w:left="0" w:right="20" w:firstLine="0"/>
      </w:pPr>
      <w:r>
        <w:rPr>
          <w:lang w:val="ru-RU" w:eastAsia="ru-RU" w:bidi="ru-RU"/>
          <w:w w:val="100"/>
          <w:spacing w:val="0"/>
          <w:color w:val="000000"/>
          <w:position w:val="0"/>
        </w:rPr>
        <w:t>А.А. Кутейников</w:t>
      </w:r>
    </w:p>
    <w:p>
      <w:pPr>
        <w:pStyle w:val="Style13"/>
        <w:widowControl w:val="0"/>
        <w:keepNext w:val="0"/>
        <w:keepLines w:val="0"/>
        <w:shd w:val="clear" w:color="auto" w:fill="auto"/>
        <w:bidi w:val="0"/>
        <w:jc w:val="left"/>
        <w:spacing w:before="0" w:after="0"/>
        <w:ind w:left="0" w:right="5900" w:firstLine="0"/>
      </w:pPr>
      <w:r>
        <w:rPr>
          <w:lang w:val="ru-RU" w:eastAsia="ru-RU" w:bidi="ru-RU"/>
          <w:w w:val="100"/>
          <w:spacing w:val="0"/>
          <w:color w:val="000000"/>
          <w:position w:val="0"/>
        </w:rPr>
        <w:t xml:space="preserve">Исп. Кутейников А.А. </w:t>
      </w:r>
      <w:r>
        <w:fldChar w:fldCharType="begin"/>
      </w:r>
      <w:r>
        <w:rPr>
          <w:color w:val="000000"/>
        </w:rPr>
        <w:instrText> HYPERLINK "mailto:to77-kuteynikov@fas.gov.ru" </w:instrText>
      </w:r>
      <w:r>
        <w:fldChar w:fldCharType="separate"/>
      </w:r>
      <w:r>
        <w:rPr>
          <w:rStyle w:val="Hyperlink"/>
          <w:lang w:val="en-US" w:eastAsia="en-US" w:bidi="en-US"/>
          <w:w w:val="100"/>
          <w:spacing w:val="0"/>
          <w:position w:val="0"/>
        </w:rPr>
        <w:t>to77-kuteynikov@fas.gov.ru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2021-8295</w:t>
      </w:r>
    </w:p>
    <w:sectPr>
      <w:type w:val="continuous"/>
      <w:pgSz w:w="11906" w:h="16838"/>
      <w:pgMar w:top="1386" w:left="853" w:right="853" w:bottom="82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5.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0.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22.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Полужирный"/>
    <w:basedOn w:val="CharStyle6"/>
    <w:rPr>
      <w:lang w:val="ru-RU" w:eastAsia="ru-RU" w:bidi="ru-RU"/>
      <w:b/>
      <w:bCs/>
      <w:w w:val="100"/>
      <w:spacing w:val="0"/>
      <w:color w:val="000000"/>
      <w:position w:val="0"/>
    </w:rPr>
  </w:style>
  <w:style w:type="character" w:customStyle="1" w:styleId="CharStyle12">
    <w:name w:val="Основной текст"/>
    <w:basedOn w:val="CharStyle6"/>
    <w:rPr>
      <w:lang w:val="ru-RU" w:eastAsia="ru-RU" w:bidi="ru-RU"/>
      <w:u w:val="single"/>
      <w:w w:val="100"/>
      <w:spacing w:val="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19"/>
      <w:szCs w:val="19"/>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27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4860" w:line="1046"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