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ГКУ «АМПП»</w:t>
      </w:r>
    </w:p>
    <w:p>
      <w:pPr>
        <w:pStyle w:val="Style3"/>
        <w:widowControl w:val="0"/>
        <w:keepNext w:val="0"/>
        <w:keepLines w:val="0"/>
        <w:shd w:val="clear" w:color="auto" w:fill="auto"/>
        <w:bidi w:val="0"/>
        <w:jc w:val="left"/>
        <w:spacing w:before="0" w:after="298" w:line="260" w:lineRule="exact"/>
        <w:ind w:left="5320" w:right="0" w:firstLine="0"/>
      </w:pPr>
      <w:r>
        <w:rPr>
          <w:lang w:val="ru-RU" w:eastAsia="ru-RU" w:bidi="ru-RU"/>
          <w:w w:val="100"/>
          <w:spacing w:val="0"/>
          <w:color w:val="000000"/>
          <w:position w:val="0"/>
        </w:rPr>
        <w:t>ул. Скаковая, д. 19, г. Москва, 125040</w:t>
      </w:r>
    </w:p>
    <w:p>
      <w:pPr>
        <w:pStyle w:val="Style3"/>
        <w:widowControl w:val="0"/>
        <w:keepNext w:val="0"/>
        <w:keepLines w:val="0"/>
        <w:shd w:val="clear" w:color="auto" w:fill="auto"/>
        <w:bidi w:val="0"/>
        <w:jc w:val="left"/>
        <w:spacing w:before="0" w:after="304" w:line="322" w:lineRule="exact"/>
        <w:ind w:left="5320" w:right="480" w:firstLine="0"/>
      </w:pPr>
      <w:r>
        <w:rPr>
          <w:lang w:val="ru-RU" w:eastAsia="ru-RU" w:bidi="ru-RU"/>
          <w:w w:val="100"/>
          <w:spacing w:val="0"/>
          <w:color w:val="000000"/>
          <w:position w:val="0"/>
        </w:rPr>
        <w:t>Департамент г. Москвы по конкурентной политике</w:t>
      </w:r>
    </w:p>
    <w:p>
      <w:pPr>
        <w:pStyle w:val="Style3"/>
        <w:widowControl w:val="0"/>
        <w:keepNext w:val="0"/>
        <w:keepLines w:val="0"/>
        <w:shd w:val="clear" w:color="auto" w:fill="auto"/>
        <w:bidi w:val="0"/>
        <w:jc w:val="left"/>
        <w:spacing w:before="0" w:after="346" w:line="317" w:lineRule="exact"/>
        <w:ind w:left="5320" w:right="480" w:firstLine="0"/>
      </w:pPr>
      <w:r>
        <w:rPr>
          <w:lang w:val="ru-RU" w:eastAsia="ru-RU" w:bidi="ru-RU"/>
          <w:w w:val="100"/>
          <w:spacing w:val="0"/>
          <w:color w:val="000000"/>
          <w:position w:val="0"/>
        </w:rPr>
        <w:t>ул. Макаренко, д. 4, стр. 1, г. Москва, 105062</w:t>
      </w:r>
    </w:p>
    <w:p>
      <w:pPr>
        <w:pStyle w:val="Style3"/>
        <w:widowControl w:val="0"/>
        <w:keepNext w:val="0"/>
        <w:keepLines w:val="0"/>
        <w:shd w:val="clear" w:color="auto" w:fill="auto"/>
        <w:bidi w:val="0"/>
        <w:jc w:val="left"/>
        <w:spacing w:before="0" w:after="312" w:line="260" w:lineRule="exact"/>
        <w:ind w:left="5320" w:right="0" w:firstLine="0"/>
      </w:pPr>
      <w:r>
        <w:rPr>
          <w:lang w:val="ru-RU" w:eastAsia="ru-RU" w:bidi="ru-RU"/>
          <w:w w:val="100"/>
          <w:spacing w:val="0"/>
          <w:color w:val="000000"/>
          <w:position w:val="0"/>
        </w:rPr>
        <w:t>ООО «Инвестором»</w:t>
      </w:r>
    </w:p>
    <w:p>
      <w:pPr>
        <w:pStyle w:val="Style3"/>
        <w:widowControl w:val="0"/>
        <w:keepNext w:val="0"/>
        <w:keepLines w:val="0"/>
        <w:shd w:val="clear" w:color="auto" w:fill="auto"/>
        <w:bidi w:val="0"/>
        <w:jc w:val="left"/>
        <w:spacing w:before="0" w:after="836" w:line="317" w:lineRule="exact"/>
        <w:ind w:left="5320" w:right="300" w:firstLine="0"/>
      </w:pPr>
      <w:r>
        <w:rPr>
          <w:lang w:val="ru-RU" w:eastAsia="ru-RU" w:bidi="ru-RU"/>
          <w:w w:val="100"/>
          <w:spacing w:val="0"/>
          <w:color w:val="000000"/>
          <w:position w:val="0"/>
        </w:rPr>
        <w:t>ул. Маршала Рыбалко, д. 2, корп. 6, эт. 4, пом. 1, ком. 32, г. Москва, 123060</w:t>
      </w:r>
    </w:p>
    <w:p>
      <w:pPr>
        <w:pStyle w:val="Style6"/>
        <w:tabs>
          <w:tab w:leader="none" w:pos="12434" w:val="right"/>
        </w:tabs>
        <w:widowControl w:val="0"/>
        <w:keepNext w:val="0"/>
        <w:keepLines w:val="0"/>
        <w:shd w:val="clear" w:color="auto" w:fill="auto"/>
        <w:bidi w:val="0"/>
        <w:jc w:val="left"/>
        <w:spacing w:before="0" w:after="0"/>
        <w:ind w:left="2320" w:right="2320" w:firstLine="2040"/>
      </w:pPr>
      <w:r>
        <w:rPr>
          <w:lang w:val="ru-RU" w:eastAsia="ru-RU" w:bidi="ru-RU"/>
          <w:w w:val="100"/>
          <w:spacing w:val="0"/>
          <w:color w:val="000000"/>
          <w:position w:val="0"/>
        </w:rPr>
        <w:t>РЕШЕНИЕ по делу №077/06/106-2033/2021 о нарушении законодательства о контрактной системе</w:t>
      </w:r>
    </w:p>
    <w:p>
      <w:pPr>
        <w:pStyle w:val="Style6"/>
        <w:numPr>
          <w:ilvl w:val="0"/>
          <w:numId w:val="1"/>
        </w:numPr>
        <w:tabs>
          <w:tab w:leader="none" w:pos="10114" w:val="right"/>
          <w:tab w:leader="none" w:pos="9154"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Москва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Д.А. Сологова,</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Специалиста 1 разряда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3"/>
        <w:tabs>
          <w:tab w:leader="none" w:pos="63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 Узкого,</w:t>
      </w:r>
    </w:p>
    <w:p>
      <w:pPr>
        <w:pStyle w:val="Style3"/>
        <w:widowControl w:val="0"/>
        <w:keepNext w:val="0"/>
        <w:keepLines w:val="0"/>
        <w:shd w:val="clear" w:color="auto" w:fill="auto"/>
        <w:bidi w:val="0"/>
        <w:jc w:val="left"/>
        <w:spacing w:before="0" w:after="0" w:line="322" w:lineRule="exact"/>
        <w:ind w:left="2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ГКУ «АМПП», Департамента г. Москвы по конкурентной политике, ООО «Инвестором»,</w:t>
      </w:r>
    </w:p>
    <w:p>
      <w:pPr>
        <w:pStyle w:val="Style3"/>
        <w:widowControl w:val="0"/>
        <w:keepNext w:val="0"/>
        <w:keepLines w:val="0"/>
        <w:shd w:val="clear" w:color="auto" w:fill="auto"/>
        <w:bidi w:val="0"/>
        <w:jc w:val="both"/>
        <w:spacing w:before="0" w:after="356" w:line="322" w:lineRule="exact"/>
        <w:ind w:left="20" w:right="20" w:firstLine="700"/>
      </w:pPr>
      <w:r>
        <w:rPr>
          <w:lang w:val="ru-RU" w:eastAsia="ru-RU" w:bidi="ru-RU"/>
          <w:w w:val="100"/>
          <w:spacing w:val="0"/>
          <w:color w:val="000000"/>
          <w:position w:val="0"/>
        </w:rPr>
        <w:t>рассмотрев жалобу ООО «Инвестором» (далее — Заявитель) на действия ГКУ «АМПП» (далее — Заказчик) при проведении электронного аукциона на право заключения государственного контракта на оказание услуг по санитарному содержанию территорий и помещений специализированных стоянок (Закупка № 0173200001420001871) (далее - электронный аукцион, аукцион) в соответствии с</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000641176281</w:t>
      </w:r>
    </w:p>
    <w:p>
      <w:pPr>
        <w:pStyle w:val="Style3"/>
        <w:widowControl w:val="0"/>
        <w:keepNext w:val="0"/>
        <w:keepLines w:val="0"/>
        <w:shd w:val="clear" w:color="auto" w:fill="auto"/>
        <w:bidi w:val="0"/>
        <w:jc w:val="both"/>
        <w:spacing w:before="0" w:after="300" w:line="322" w:lineRule="exact"/>
        <w:ind w:left="20" w:right="20" w:firstLine="0"/>
      </w:pPr>
      <w:r>
        <w:rPr>
          <w:lang w:val="ru-RU" w:eastAsia="ru-RU" w:bidi="ru-RU"/>
          <w:w w:val="100"/>
          <w:spacing w:val="0"/>
          <w:color w:val="000000"/>
          <w:position w:val="0"/>
        </w:rPr>
        <w:t>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10"/>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1"/>
        <w:widowControl w:val="0"/>
        <w:keepNext/>
        <w:keepLines/>
        <w:shd w:val="clear" w:color="auto" w:fill="auto"/>
        <w:bidi w:val="0"/>
        <w:jc w:val="left"/>
        <w:spacing w:before="0" w:after="0"/>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Заказчиком представлены документы и сведения, запрашиваемые письмом Московского УФАС России от 05.02.2021 №ЕИ/6384/21.</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доводам жалобы Заявителя Заказчиком неправомерно размещен протокол признания участника уклонившимся от заключения контракта от</w:t>
      </w:r>
    </w:p>
    <w:p>
      <w:pPr>
        <w:pStyle w:val="Style3"/>
        <w:numPr>
          <w:ilvl w:val="0"/>
          <w:numId w:val="3"/>
        </w:numPr>
        <w:tabs>
          <w:tab w:leader="none" w:pos="1379"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№ППУ1 и признания ООО «Инвестором» уклонившимся от заключения контракта на основании предоставления обеспечения исполнения контракта в форме банковской гарантии, не соответствующей требованиям аукционной документации и положениям действующего законодательства.</w:t>
      </w:r>
    </w:p>
    <w:p>
      <w:pPr>
        <w:pStyle w:val="Style3"/>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В соответствии с протоколом подведения итогов аукциона в электронной форме от 18.01.2021 №0173200001420001871-3 ООО «Инвестором» признано победителем электронного аукциона.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Закона о контрактной системе,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Закона о контрактной системе, указанных в заявке, окончательном предложении участника электронной процедуры.</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ст.83.2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ч.3 ст.96 Закона о контрактной системе исполнение контракта может обеспечиваться, в частности, предоставлением банковской гарантии, выданной банком и соответствующей требованиям ст.45 Закона о контрактной системы, при этом срок действия банковской гарантии должен превышать срок действия контракта не менее чем на один месяц.</w:t>
      </w:r>
    </w:p>
    <w:p>
      <w:pPr>
        <w:pStyle w:val="Style3"/>
        <w:numPr>
          <w:ilvl w:val="0"/>
          <w:numId w:val="5"/>
        </w:numPr>
        <w:tabs>
          <w:tab w:leader="none" w:pos="1273"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ст.45 Закона о контрактной системе установлен перечень информации, которая должна содержать банковская гарантия.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Управления установлено, что Заявителем направлен подписанный проект контракта и обеспечение исполнения контракта в виде банковской гарантии от 26.01.2021 №БГ-438177/2021, выданной АКБ «Держава» ПАО.</w:t>
      </w:r>
    </w:p>
    <w:p>
      <w:pPr>
        <w:pStyle w:val="Style3"/>
        <w:tabs>
          <w:tab w:leader="none" w:pos="2918" w:val="left"/>
        </w:tabs>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Согласно ч.8.2</w:t>
        <w:tab/>
        <w:t>ст.45 Закона о контрактной системе дополнительные</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в Банковской гарантии содержатся условия, которые противоречат положениям Закона о контрактной системе, поскольку условия представленной банковской гарантии предполагают получение гарантом требования платежа по гарантии до истечения</w:t>
      </w:r>
    </w:p>
    <w:p>
      <w:pPr>
        <w:pStyle w:val="Style3"/>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срока действия такой гарантии.</w:t>
      </w:r>
    </w:p>
    <w:p>
      <w:pPr>
        <w:pStyle w:val="Style3"/>
        <w:numPr>
          <w:ilvl w:val="0"/>
          <w:numId w:val="5"/>
        </w:numPr>
        <w:tabs>
          <w:tab w:leader="none" w:pos="1369"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ст.45 Закона о контрактной системе установлено, что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установлено, что в Банковской гарантии предусмотрено следующее: «п.1.6 Требование по гарантии должно быть получено Гарантом до истечения срока действия настоящей Гарантии».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согласно п.2 ст. 374 Гражданского Кодекса Российской Федерации, требование бенефициара должно быть представлено гаранту до окончания срока действия независимой гарантии.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исходя из положений п.2 ст.374 Гражданского Кодекса Российской Федерации, требование бенефициара должно быть предъявлено гаранту до окончания срока действия гарантии, что не может в ряде случаев считаться действием, совпадающим по времени совершения с моментом получения гарантом такого требования.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Кроме того, в силу п.2 ст.194 Гражданского Кодекса Российской Федерации письменные заявления и извещения, сданные в организацию связи до двадцати четырех часов последнего дня срока, считаются сделанными в срок.</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Исходя из совокупности применения п.2 ст.194 и п.2 ст.374 Гражданского Кодекса Российской Федерации 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 даже если получены им за пределами срока действия гарантии.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установление в банковской гарантии положения, что требование платежа по гарантии должно быть получено Гарантом до истечения срока действия банковской гарантии, ведет к сокращению времени на подготовку Заказчиком такого требования и направления его банку-гаранту, поскольку в данном случае также необходимо учитывать сроки на получение такого требования банком.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п.2 ч.6 ст.45 Закона о контрактной системе основанием для отказа в принятии банковской гарантии заказчиком является несоответствие банковской гарантии условиям, указанным в частях 2 и 3 ст.45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признания банковской гарантии не соответствующей требованиям аукционной документации, и принятие Заказчиком решения об отказе от заключения контракта по основанию, указанному в протоколе, не противоречит положениям Закона о контрактной системе.</w:t>
      </w:r>
      <w:r>
        <w:br w:type="page"/>
      </w:r>
    </w:p>
    <w:p>
      <w:pPr>
        <w:pStyle w:val="Style3"/>
        <w:widowControl w:val="0"/>
        <w:keepNext w:val="0"/>
        <w:keepLines w:val="0"/>
        <w:shd w:val="clear" w:color="auto" w:fill="auto"/>
        <w:bidi w:val="0"/>
        <w:jc w:val="both"/>
        <w:spacing w:before="0" w:after="349" w:line="322" w:lineRule="exact"/>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6"/>
        <w:widowControl w:val="0"/>
        <w:keepNext w:val="0"/>
        <w:keepLines w:val="0"/>
        <w:shd w:val="clear" w:color="auto" w:fill="auto"/>
        <w:bidi w:val="0"/>
        <w:jc w:val="left"/>
        <w:spacing w:before="0" w:after="0" w:line="260" w:lineRule="exact"/>
        <w:ind w:left="4600" w:right="0" w:firstLine="0"/>
      </w:pPr>
      <w:r>
        <w:rPr>
          <w:lang w:val="ru-RU" w:eastAsia="ru-RU" w:bidi="ru-RU"/>
          <w:w w:val="100"/>
          <w:spacing w:val="0"/>
          <w:color w:val="000000"/>
          <w:position w:val="0"/>
        </w:rPr>
        <w:t>Р Е Ш И Л А:</w:t>
      </w:r>
    </w:p>
    <w:p>
      <w:pPr>
        <w:pStyle w:val="Style3"/>
        <w:numPr>
          <w:ilvl w:val="0"/>
          <w:numId w:val="7"/>
        </w:numPr>
        <w:widowControl w:val="0"/>
        <w:keepNext w:val="0"/>
        <w:keepLines w:val="0"/>
        <w:shd w:val="clear" w:color="auto" w:fill="auto"/>
        <w:bidi w:val="0"/>
        <w:jc w:val="both"/>
        <w:spacing w:before="0" w:after="0" w:line="326" w:lineRule="exact"/>
        <w:ind w:left="0" w:right="20" w:firstLine="720"/>
      </w:pPr>
      <w:r>
        <w:rPr>
          <w:lang w:val="ru-RU" w:eastAsia="ru-RU" w:bidi="ru-RU"/>
          <w:w w:val="100"/>
          <w:spacing w:val="0"/>
          <w:color w:val="000000"/>
          <w:position w:val="0"/>
        </w:rPr>
        <w:t xml:space="preserve"> Признать жалобу ООО «Инвестпром» на действия ГКУ «АМПП» необоснованной.</w:t>
      </w:r>
    </w:p>
    <w:p>
      <w:pPr>
        <w:pStyle w:val="Style3"/>
        <w:numPr>
          <w:ilvl w:val="0"/>
          <w:numId w:val="7"/>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от</w:t>
      </w:r>
    </w:p>
    <w:p>
      <w:pPr>
        <w:pStyle w:val="Style3"/>
        <w:numPr>
          <w:ilvl w:val="0"/>
          <w:numId w:val="9"/>
        </w:numPr>
        <w:tabs>
          <w:tab w:leader="none" w:pos="1414" w:val="left"/>
        </w:tabs>
        <w:widowControl w:val="0"/>
        <w:keepNext w:val="0"/>
        <w:keepLines w:val="0"/>
        <w:shd w:val="clear" w:color="auto" w:fill="auto"/>
        <w:bidi w:val="0"/>
        <w:jc w:val="both"/>
        <w:spacing w:before="0" w:after="296" w:line="322" w:lineRule="exact"/>
        <w:ind w:left="0" w:right="0" w:firstLine="0"/>
      </w:pPr>
      <w:r>
        <w:rPr>
          <w:lang w:val="ru-RU" w:eastAsia="ru-RU" w:bidi="ru-RU"/>
          <w:w w:val="100"/>
          <w:spacing w:val="0"/>
          <w:color w:val="000000"/>
          <w:position w:val="0"/>
        </w:rPr>
        <w:t>№ЕИ/6384/21.</w:t>
      </w:r>
    </w:p>
    <w:p>
      <w:pPr>
        <w:pStyle w:val="Style3"/>
        <w:widowControl w:val="0"/>
        <w:keepNext w:val="0"/>
        <w:keepLines w:val="0"/>
        <w:shd w:val="clear" w:color="auto" w:fill="auto"/>
        <w:bidi w:val="0"/>
        <w:jc w:val="both"/>
        <w:spacing w:before="0" w:after="0" w:line="326"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3"/>
        <w:widowControl w:val="0"/>
        <w:keepNext w:val="0"/>
        <w:keepLines w:val="0"/>
        <w:shd w:val="clear" w:color="auto" w:fill="auto"/>
        <w:bidi w:val="0"/>
        <w:jc w:val="both"/>
        <w:spacing w:before="0" w:after="652" w:line="260" w:lineRule="exact"/>
        <w:ind w:left="0" w:right="0" w:firstLine="0"/>
      </w:pPr>
      <w:r>
        <w:rPr>
          <w:lang w:val="ru-RU" w:eastAsia="ru-RU" w:bidi="ru-RU"/>
          <w:w w:val="100"/>
          <w:spacing w:val="0"/>
          <w:color w:val="000000"/>
          <w:position w:val="0"/>
        </w:rPr>
        <w:t>гл. 24 АПК РФ.</w:t>
      </w:r>
    </w:p>
    <w:p>
      <w:pPr>
        <w:pStyle w:val="Style3"/>
        <w:framePr w:h="245" w:wrap="around" w:vAnchor="text" w:hAnchor="margin" w:x="8551" w:y="1"/>
        <w:widowControl w:val="0"/>
        <w:keepNext w:val="0"/>
        <w:keepLines w:val="0"/>
        <w:shd w:val="clear" w:color="auto" w:fill="auto"/>
        <w:bidi w:val="0"/>
        <w:jc w:val="left"/>
        <w:spacing w:before="0" w:after="0" w:line="240" w:lineRule="exact"/>
        <w:ind w:left="100" w:right="0" w:firstLine="0"/>
      </w:pPr>
      <w:r>
        <w:rPr>
          <w:rStyle w:val="CharStyle4"/>
          <w:spacing w:val="0"/>
        </w:rPr>
        <w:t>Д.А. Сологов</w:t>
      </w:r>
    </w:p>
    <w:p>
      <w:pPr>
        <w:pStyle w:val="Style3"/>
        <w:framePr w:h="245" w:wrap="around" w:vAnchor="text" w:hAnchor="margin" w:x="8378" w:y="644"/>
        <w:widowControl w:val="0"/>
        <w:keepNext w:val="0"/>
        <w:keepLines w:val="0"/>
        <w:shd w:val="clear" w:color="auto" w:fill="auto"/>
        <w:bidi w:val="0"/>
        <w:jc w:val="left"/>
        <w:spacing w:before="0" w:after="0" w:line="240" w:lineRule="exact"/>
        <w:ind w:left="100" w:right="0" w:firstLine="0"/>
      </w:pPr>
      <w:r>
        <w:rPr>
          <w:rStyle w:val="CharStyle4"/>
          <w:spacing w:val="0"/>
        </w:rPr>
        <w:t>А.З. Касимова</w:t>
      </w:r>
    </w:p>
    <w:p>
      <w:pPr>
        <w:pStyle w:val="Style3"/>
        <w:widowControl w:val="0"/>
        <w:keepNext w:val="0"/>
        <w:keepLines w:val="0"/>
        <w:shd w:val="clear" w:color="auto" w:fill="auto"/>
        <w:bidi w:val="0"/>
        <w:jc w:val="both"/>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3"/>
        <w:framePr w:h="240" w:wrap="notBeside" w:vAnchor="text" w:hAnchor="margin" w:x="8747" w:y="639"/>
        <w:widowControl w:val="0"/>
        <w:keepNext w:val="0"/>
        <w:keepLines w:val="0"/>
        <w:shd w:val="clear" w:color="auto" w:fill="auto"/>
        <w:bidi w:val="0"/>
        <w:jc w:val="left"/>
        <w:spacing w:before="0" w:after="0" w:line="240" w:lineRule="exact"/>
        <w:ind w:left="100" w:right="0" w:firstLine="0"/>
      </w:pPr>
      <w:r>
        <w:rPr>
          <w:rStyle w:val="CharStyle4"/>
          <w:spacing w:val="0"/>
        </w:rPr>
        <w:t>Н.А. Узкий</w:t>
      </w:r>
    </w:p>
    <w:p>
      <w:pPr>
        <w:pStyle w:val="Style3"/>
        <w:widowControl w:val="0"/>
        <w:keepNext w:val="0"/>
        <w:keepLines w:val="0"/>
        <w:shd w:val="clear" w:color="auto" w:fill="auto"/>
        <w:bidi w:val="0"/>
        <w:jc w:val="both"/>
        <w:spacing w:before="0" w:after="5296" w:line="260" w:lineRule="exact"/>
        <w:ind w:left="0" w:right="0" w:firstLine="0"/>
      </w:pPr>
      <w:r>
        <w:rPr>
          <w:lang w:val="ru-RU" w:eastAsia="ru-RU" w:bidi="ru-RU"/>
          <w:w w:val="100"/>
          <w:spacing w:val="0"/>
          <w:color w:val="000000"/>
          <w:position w:val="0"/>
        </w:rPr>
        <w:t>Члены Комиссии</w:t>
      </w:r>
    </w:p>
    <w:p>
      <w:pPr>
        <w:pStyle w:val="Style13"/>
        <w:widowControl w:val="0"/>
        <w:keepNext w:val="0"/>
        <w:keepLines w:val="0"/>
        <w:shd w:val="clear" w:color="auto" w:fill="auto"/>
        <w:bidi w:val="0"/>
        <w:jc w:val="left"/>
        <w:spacing w:before="0" w:after="0"/>
        <w:ind w:left="180" w:right="5740"/>
      </w:pPr>
      <w:r>
        <w:rPr>
          <w:lang w:val="ru-RU" w:eastAsia="ru-RU" w:bidi="ru-RU"/>
          <w:w w:val="100"/>
          <w:spacing w:val="0"/>
          <w:color w:val="000000"/>
          <w:position w:val="0"/>
        </w:rPr>
        <w:t xml:space="preserve">Исп. Касимова А.З. 8 (495) 784-75-05 доб. (077-186) </w:t>
      </w:r>
      <w:r>
        <w:rPr>
          <w:rStyle w:val="CharStyle15"/>
          <w:b w:val="0"/>
          <w:bCs w:val="0"/>
        </w:rPr>
        <w:t>2021-8012</w:t>
      </w:r>
    </w:p>
    <w:sectPr>
      <w:footnotePr>
        <w:pos w:val="pageBottom"/>
        <w:numFmt w:val="decimal"/>
        <w:numRestart w:val="continuous"/>
      </w:footnotePr>
      <w:type w:val="continuous"/>
      <w:pgSz w:w="11906" w:h="16838"/>
      <w:pgMar w:top="1319" w:left="851" w:right="850" w:bottom="12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0.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1.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5.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Основной текст"/>
    <w:basedOn w:val="CharStyle5"/>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character" w:customStyle="1" w:styleId="CharStyle15">
    <w:name w:val="Основной текст (3) + 11 pt,Не полужирный"/>
    <w:basedOn w:val="CharStyle14"/>
    <w:rPr>
      <w:lang w:val="ru-RU" w:eastAsia="ru-RU" w:bidi="ru-RU"/>
      <w:b/>
      <w:bCs/>
      <w:sz w:val="22"/>
      <w:szCs w:val="22"/>
      <w:w w:val="100"/>
      <w:spacing w:val="0"/>
      <w:color w:val="000000"/>
      <w:position w:val="0"/>
    </w:rPr>
  </w:style>
  <w:style w:type="paragraph" w:customStyle="1" w:styleId="Style3">
    <w:name w:val="Основной текст"/>
    <w:basedOn w:val="Normal"/>
    <w:link w:val="CharStyle5"/>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8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6180" w:line="1214" w:lineRule="exact"/>
      <w:ind w:hanging="180"/>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