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ГБУ «ГП № 180 ДЗМ»</w:t>
      </w:r>
    </w:p>
    <w:p>
      <w:pPr>
        <w:pStyle w:val="Style5"/>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пер. Уваровский, д. 4, г. Москва, 125222</w:t>
      </w:r>
    </w:p>
    <w:p>
      <w:pPr>
        <w:pStyle w:val="Style5"/>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ООО «Триумф»</w:t>
      </w:r>
    </w:p>
    <w:p>
      <w:pPr>
        <w:pStyle w:val="Style5"/>
        <w:widowControl w:val="0"/>
        <w:keepNext w:val="0"/>
        <w:keepLines w:val="0"/>
        <w:shd w:val="clear" w:color="auto" w:fill="auto"/>
        <w:bidi w:val="0"/>
        <w:jc w:val="left"/>
        <w:spacing w:before="0" w:after="289" w:line="322" w:lineRule="exact"/>
        <w:ind w:left="5320" w:right="160" w:firstLine="0"/>
      </w:pPr>
      <w:r>
        <w:rPr>
          <w:lang w:val="ru-RU" w:eastAsia="ru-RU" w:bidi="ru-RU"/>
          <w:w w:val="100"/>
          <w:spacing w:val="0"/>
          <w:color w:val="000000"/>
          <w:position w:val="0"/>
        </w:rPr>
        <w:t>ул. Бабушкина, д. 2А, эт. 3, пом. 72, оф. 45, г. Орехово-Зуево, МО, 142600</w:t>
      </w:r>
    </w:p>
    <w:p>
      <w:pPr>
        <w:pStyle w:val="Style5"/>
        <w:widowControl w:val="0"/>
        <w:keepNext w:val="0"/>
        <w:keepLines w:val="0"/>
        <w:shd w:val="clear" w:color="auto" w:fill="auto"/>
        <w:bidi w:val="0"/>
        <w:jc w:val="left"/>
        <w:spacing w:before="0" w:after="29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198"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9102" w:val="right"/>
          <w:tab w:leader="none" w:pos="10158"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№077/06/106-2036/2021 о нарушении законодательства о контрактной системе 10.02.2021</w:t>
        <w:tab/>
        <w:t>г.</w:t>
        <w:tab/>
        <w:t>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2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349" w:h="427" w:wrap="around" w:vAnchor="text" w:hAnchor="margin" w:x="351" w:y="258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001645506467</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участии представителей: ГБУ «ГП № 180 ДЗМ», ООО «Триумф», рассмотрев жалобу ООО «Триумф» (далее — Заявитель) на действия ГБУ «ГП № 180 ДЗМ» (далее — Заказчик) при проведении электронного аукциона на право заключения государственного контракта на оказание услуг по комплексному техническому обслуживанию зданий, сооружений, систем инженерно-технического обеспечения с выполнением комплекса мероприятий, направленных на восстановление и устранение неисправностей элементов зданий,</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сооружений, систем инженерного оборудования, в целях поддержания их эксплуатационных показателей в ГБУ «ГП № 180 ДЗМ» (включая филиалы) (Закупка № 0373200558120000128)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w:t>
      </w:r>
      <w:r>
        <w:rPr>
          <w:rStyle w:val="CharStyle9"/>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3" w:line="260" w:lineRule="exact"/>
        <w:ind w:left="0" w:right="34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№ЕИ/6390/21 от 05.02.2021 .</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Заявитель в жалобе указывает на то, что Заказчиком нарушен порядок предоставления разъяснений положений документации.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ч.3 ст.65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ч.4 ст.65 Закона о контрактной системе в течение двух дней с даты поступления от оператора электронной площадки указанного в ч.3 ст.65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ч.6 ст.65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не превышает три миллиона рублей, не менее чем семь дней.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 участником закупки направлен запрос о даче разъяснений положений аукционной документации со следующим содержанием: «...Уважаемый заказчик, согласно решению по делу №077/06/106-22914/2020 о нарушении законодательства о контрактной системе Комиссия Управления установила, что «...Инструкция, размещенная Заказчиком в данной форме, расположена в графе «Требования к материалам и оборудованию», что создает препятствия к её ознакомлению. Также Комиссия Управления отмечает, что вышеуказанное обстоятельство повлекло к ограничению количество участников закупки, что подтверждается протоколом рассмотрения заявок на участие в электронном аукционе от 24.12.2020 №0373200558120000128-1. На основании вышеизложенного Комиссия Управления приходит к выводу о нарушении Заказчиком п.2 ч.1 ст.64, ч.6 ст.66 Закона о контрактной системе». Заказчику было выдано предписание о внесении изменений в аукционную документацию. 29.01.2021 г. Вами были внесены изменения в аукционную документацию, однако инструкция по заполнению первой части заявки опять установлена в колонке «Требования к материалам и оборудованию». Просим исполнить предписание по делу № 077/06/106-22914/2020 об устранении нарушений законодательства о контрактной системе и внести изменения в аукционную документацию».</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свою очередь 01.02.2021 Заказчиком в ответ на запрос опубликовано разъяснение положений документации об электронном аукционе №РД1 со следующим текстом: «По данному основанию в аукционную документацию будут внесены изменения».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также установлено, что по состоянию на 10.02.2021 Заказчиком не внесены изменения в аукционную документацию.</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представитель Заказчика согласился с данным доводом жалобы и пояснил, что изменения в аукционную документацию не были внесены по техническим причинам.</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Управления отмечает, что данные Заказчиком разъяснения положений аукционной документации №РД1 от 01.02.2021 не могут считаться надлежащим исполнением Заказчиком требования ч.4 ст.65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ч.4 ст.65 Закона о контрактной системе.</w:t>
      </w:r>
    </w:p>
    <w:p>
      <w:pPr>
        <w:pStyle w:val="Style5"/>
        <w:widowControl w:val="0"/>
        <w:keepNext w:val="0"/>
        <w:keepLines w:val="0"/>
        <w:shd w:val="clear" w:color="auto" w:fill="auto"/>
        <w:bidi w:val="0"/>
        <w:jc w:val="both"/>
        <w:spacing w:before="0" w:after="349" w:line="322"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10"/>
        <w:widowControl w:val="0"/>
        <w:keepNext/>
        <w:keepLines/>
        <w:shd w:val="clear" w:color="auto" w:fill="auto"/>
        <w:bidi w:val="0"/>
        <w:spacing w:before="0" w:after="304"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1"/>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Признать жалобу ООО «Триумф» на действия ГБУ «ГП № 180 ДЗМ» обоснованной.</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Признать в действиях Заказчика нарушение ч. 4 ст. 65 Закона о контрактной системе.</w:t>
      </w:r>
    </w:p>
    <w:p>
      <w:pPr>
        <w:pStyle w:val="Style5"/>
        <w:numPr>
          <w:ilvl w:val="0"/>
          <w:numId w:val="1"/>
        </w:numPr>
        <w:widowControl w:val="0"/>
        <w:keepNext w:val="0"/>
        <w:keepLines w:val="0"/>
        <w:shd w:val="clear" w:color="auto" w:fill="auto"/>
        <w:bidi w:val="0"/>
        <w:jc w:val="both"/>
        <w:spacing w:before="0" w:after="300" w:line="322" w:lineRule="exact"/>
        <w:ind w:left="2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47" w:line="322" w:lineRule="exact"/>
        <w:ind w:left="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150" w:val="right"/>
          <w:tab w:leader="none" w:pos="10182"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Д.А.</w:t>
        <w:tab/>
        <w:t>Сологов</w:t>
      </w:r>
    </w:p>
    <w:p>
      <w:pPr>
        <w:pStyle w:val="Style5"/>
        <w:tabs>
          <w:tab w:leader="none" w:pos="8718" w:val="center"/>
          <w:tab w:leader="none" w:pos="10182"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2527" w:line="638" w:lineRule="exact"/>
        <w:ind w:left="0" w:right="20" w:firstLine="0"/>
      </w:pPr>
      <w:r>
        <w:rPr>
          <w:lang w:val="ru-RU" w:eastAsia="ru-RU" w:bidi="ru-RU"/>
          <w:w w:val="100"/>
          <w:spacing w:val="0"/>
          <w:color w:val="000000"/>
          <w:position w:val="0"/>
        </w:rPr>
        <w:t>Н.А. Узкий</w:t>
      </w:r>
    </w:p>
    <w:p>
      <w:pPr>
        <w:pStyle w:val="Style12"/>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 8 (495) 784-75-05 доб. (077-186)</w:t>
      </w:r>
    </w:p>
    <w:sectPr>
      <w:footnotePr>
        <w:pos w:val="pageBottom"/>
        <w:numFmt w:val="decimal"/>
        <w:numRestart w:val="continuous"/>
      </w:footnotePr>
      <w:type w:val="continuous"/>
      <w:pgSz w:w="11906" w:h="16838"/>
      <w:pgMar w:top="1190" w:left="850" w:right="842"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320" w:line="322" w:lineRule="exact"/>
      <w:ind w:firstLine="454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21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