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Оператор электронной площадки:</w:t>
      </w:r>
    </w:p>
    <w:p>
      <w:pPr>
        <w:pStyle w:val="Style10"/>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ОАО "ЕЭТП"</w:t>
      </w:r>
    </w:p>
    <w:p>
      <w:pPr>
        <w:pStyle w:val="Style3"/>
        <w:framePr w:w="4294" w:h="3396" w:wrap="around" w:vAnchor="text" w:hAnchor="margin" w:x="287" w:y="765"/>
        <w:widowControl w:val="0"/>
        <w:keepNext w:val="0"/>
        <w:keepLines w:val="0"/>
        <w:shd w:val="clear" w:color="auto" w:fill="auto"/>
        <w:bidi w:val="0"/>
        <w:jc w:val="center"/>
        <w:spacing w:before="0" w:after="120"/>
        <w:ind w:left="0" w:right="100" w:firstLine="0"/>
      </w:pPr>
      <w:r>
        <w:rPr>
          <w:rStyle w:val="CharStyle4"/>
          <w:b/>
          <w:bCs/>
          <w:spacing w:val="0"/>
        </w:rPr>
        <w:t>ФЕДЕРАЛЬНАЯ АНТИМОНОПОЛЬНАЯ СЛУЖБА</w:t>
      </w:r>
    </w:p>
    <w:p>
      <w:pPr>
        <w:pStyle w:val="Style5"/>
        <w:framePr w:w="4294" w:h="3396" w:wrap="around" w:vAnchor="text" w:hAnchor="margin" w:x="287" w:y="765"/>
        <w:widowControl w:val="0"/>
        <w:keepNext w:val="0"/>
        <w:keepLines w:val="0"/>
        <w:shd w:val="clear" w:color="auto" w:fill="auto"/>
        <w:bidi w:val="0"/>
        <w:spacing w:before="0" w:after="0"/>
        <w:ind w:left="0" w:right="100" w:firstLine="0"/>
      </w:pPr>
      <w:r>
        <w:rPr>
          <w:lang w:val="ru-RU" w:eastAsia="ru-RU" w:bidi="ru-RU"/>
          <w:sz w:val="24"/>
          <w:szCs w:val="24"/>
          <w:w w:val="100"/>
          <w:spacing w:val="0"/>
          <w:color w:val="000000"/>
          <w:position w:val="0"/>
        </w:rPr>
        <w:t>УПРАВЛЕНИЕ</w:t>
      </w:r>
    </w:p>
    <w:p>
      <w:pPr>
        <w:pStyle w:val="Style3"/>
        <w:framePr w:w="4294" w:h="3396" w:wrap="around" w:vAnchor="text" w:hAnchor="margin" w:x="287" w:y="765"/>
        <w:widowControl w:val="0"/>
        <w:keepNext w:val="0"/>
        <w:keepLines w:val="0"/>
        <w:shd w:val="clear" w:color="auto" w:fill="auto"/>
        <w:bidi w:val="0"/>
        <w:jc w:val="center"/>
        <w:spacing w:before="0" w:after="0"/>
        <w:ind w:left="0" w:right="100" w:firstLine="0"/>
      </w:pPr>
      <w:r>
        <w:rPr>
          <w:rStyle w:val="CharStyle4"/>
          <w:b/>
          <w:bCs/>
          <w:spacing w:val="0"/>
        </w:rPr>
        <w:t>Федеральной антимонопольной службы по Ханты-Мансийскому автономному округу - Югре</w:t>
      </w:r>
    </w:p>
    <w:p>
      <w:pPr>
        <w:pStyle w:val="Style7"/>
        <w:framePr w:w="4294" w:h="3396" w:wrap="around" w:vAnchor="text" w:hAnchor="margin" w:x="287" w:y="765"/>
        <w:widowControl w:val="0"/>
        <w:keepNext w:val="0"/>
        <w:keepLines w:val="0"/>
        <w:shd w:val="clear" w:color="auto" w:fill="auto"/>
        <w:bidi w:val="0"/>
        <w:spacing w:before="0" w:after="172"/>
        <w:ind w:left="0" w:right="100" w:firstLine="0"/>
      </w:pPr>
      <w:r>
        <w:rPr>
          <w:lang w:val="ru-RU" w:eastAsia="ru-RU" w:bidi="ru-RU"/>
          <w:w w:val="100"/>
          <w:spacing w:val="0"/>
          <w:color w:val="000000"/>
          <w:position w:val="0"/>
        </w:rPr>
        <w:t xml:space="preserve">ул. Мира, 27, г. Ханты-Мансийск, 628002 тел. (3467) 38-80-81 </w:t>
      </w:r>
      <w:r>
        <w:rPr>
          <w:lang w:val="en-US" w:eastAsia="en-US" w:bidi="en-US"/>
          <w:w w:val="100"/>
          <w:spacing w:val="0"/>
          <w:color w:val="000000"/>
          <w:position w:val="0"/>
        </w:rPr>
        <w:t xml:space="preserve">e-mail: </w:t>
      </w:r>
      <w:r>
        <w:fldChar w:fldCharType="begin"/>
      </w:r>
      <w:r>
        <w:rPr>
          <w:rStyle w:val="CharStyle9"/>
        </w:rPr>
        <w:instrText> HYPERLINK "mailto:to86@fas.gov.ru" </w:instrText>
      </w:r>
      <w:r>
        <w:fldChar w:fldCharType="separate"/>
      </w:r>
      <w:r>
        <w:rPr>
          <w:rStyle w:val="Hyperlink"/>
          <w:spacing w:val="0"/>
        </w:rPr>
        <w:t>to86@fas.gov.ru</w:t>
      </w:r>
      <w:r>
        <w:fldChar w:fldCharType="end"/>
      </w:r>
    </w:p>
    <w:p>
      <w:pPr>
        <w:pStyle w:val="Style10"/>
        <w:framePr w:w="4294" w:h="3396" w:wrap="around" w:vAnchor="text" w:hAnchor="margin" w:x="287" w:y="765"/>
        <w:tabs>
          <w:tab w:leader="none" w:pos="2235" w:val="center"/>
          <w:tab w:leader="none" w:pos="3174" w:val="right"/>
        </w:tabs>
        <w:widowControl w:val="0"/>
        <w:keepNext w:val="0"/>
        <w:keepLines w:val="0"/>
        <w:shd w:val="clear" w:color="auto" w:fill="auto"/>
        <w:bidi w:val="0"/>
        <w:jc w:val="both"/>
        <w:spacing w:before="0" w:after="0" w:line="240" w:lineRule="exact"/>
        <w:ind w:left="100" w:right="0" w:firstLine="0"/>
      </w:pPr>
      <w:r>
        <w:rPr>
          <w:rStyle w:val="CharStyle12"/>
          <w:lang w:val="ru-RU" w:eastAsia="ru-RU" w:bidi="ru-RU"/>
          <w:spacing w:val="-40"/>
        </w:rPr>
        <w:t xml:space="preserve">04 </w:t>
      </w:r>
      <w:r>
        <w:rPr>
          <w:rStyle w:val="CharStyle12"/>
          <w:spacing w:val="-40"/>
        </w:rPr>
        <w:t>Oj_</w:t>
      </w:r>
      <w:r>
        <w:rPr>
          <w:rStyle w:val="CharStyle13"/>
          <w:spacing w:val="0"/>
        </w:rPr>
        <w:t xml:space="preserve"> </w:t>
      </w:r>
      <w:r>
        <w:rPr>
          <w:rStyle w:val="CharStyle14"/>
          <w:spacing w:val="0"/>
        </w:rPr>
        <w:t>2021</w:t>
      </w:r>
      <w:r>
        <w:rPr>
          <w:rStyle w:val="CharStyle11"/>
          <w:spacing w:val="0"/>
        </w:rPr>
        <w:tab/>
        <w:t>№</w:t>
        <w:tab/>
      </w:r>
      <w:r>
        <w:rPr>
          <w:rStyle w:val="CharStyle14"/>
          <w:spacing w:val="0"/>
        </w:rPr>
        <w:t>03/ТИ-</w:t>
      </w:r>
    </w:p>
    <w:p>
      <w:pPr>
        <w:pStyle w:val="Style10"/>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117312, г.Москва, пр-т 60-летия Октября, д. 9 тел.: (495) 5424020, 2761626 </w:t>
      </w:r>
      <w:r>
        <w:rPr>
          <w:lang w:val="en-US" w:eastAsia="en-US" w:bidi="en-US"/>
          <w:w w:val="100"/>
          <w:spacing w:val="0"/>
          <w:color w:val="000000"/>
          <w:position w:val="0"/>
        </w:rPr>
        <w:t xml:space="preserve">e-mail: </w:t>
      </w:r>
      <w:r>
        <w:fldChar w:fldCharType="begin"/>
      </w:r>
      <w:r>
        <w:rPr>
          <w:color w:val="000000"/>
        </w:rPr>
        <w:instrText> HYPERLINK "mailto:info@roseltorg.ru" </w:instrText>
      </w:r>
      <w:r>
        <w:fldChar w:fldCharType="separate"/>
      </w:r>
      <w:r>
        <w:rPr>
          <w:rStyle w:val="Hyperlink"/>
          <w:lang w:val="en-US" w:eastAsia="en-US" w:bidi="en-US"/>
          <w:w w:val="100"/>
          <w:spacing w:val="0"/>
          <w:position w:val="0"/>
        </w:rPr>
        <w:t>info@roseltorg.ru</w:t>
      </w:r>
      <w:r>
        <w:fldChar w:fldCharType="end"/>
      </w:r>
      <w:r>
        <w:rPr>
          <w:lang w:val="en-US" w:eastAsia="en-US" w:bidi="en-US"/>
          <w:w w:val="100"/>
          <w:spacing w:val="0"/>
          <w:color w:val="000000"/>
          <w:position w:val="0"/>
        </w:rPr>
        <w:t xml:space="preserve"> </w:t>
      </w:r>
      <w:r>
        <w:rPr>
          <w:rStyle w:val="CharStyle17"/>
        </w:rPr>
        <w:t>Заявитель:</w:t>
      </w:r>
    </w:p>
    <w:p>
      <w:pPr>
        <w:pStyle w:val="Style10"/>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ООО "Группа финансы"</w:t>
      </w:r>
    </w:p>
    <w:p>
      <w:pPr>
        <w:pStyle w:val="Style10"/>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111020, г. Москва, 2-ая ул. Синичкина, д. 9А, стр. 7</w:t>
      </w:r>
    </w:p>
    <w:p>
      <w:pPr>
        <w:pStyle w:val="Style10"/>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Тел.: 7 4953692120</w:t>
      </w:r>
    </w:p>
    <w:p>
      <w:pPr>
        <w:pStyle w:val="Style10"/>
        <w:widowControl w:val="0"/>
        <w:keepNext w:val="0"/>
        <w:keepLines w:val="0"/>
        <w:shd w:val="clear" w:color="auto" w:fill="auto"/>
        <w:bidi w:val="0"/>
        <w:spacing w:before="0" w:after="0"/>
        <w:ind w:left="20" w:right="0" w:firstLine="0"/>
      </w:pPr>
      <w:r>
        <w:rPr>
          <w:lang w:val="en-US" w:eastAsia="en-US" w:bidi="en-US"/>
          <w:w w:val="100"/>
          <w:spacing w:val="0"/>
          <w:color w:val="000000"/>
          <w:position w:val="0"/>
        </w:rPr>
        <w:t xml:space="preserve">e-mail: </w:t>
      </w:r>
      <w:r>
        <w:fldChar w:fldCharType="begin"/>
      </w:r>
      <w:r>
        <w:rPr>
          <w:rStyle w:val="CharStyle18"/>
        </w:rPr>
        <w:instrText> HYPERLINK "mailto:bmq@gf8.ru" </w:instrText>
      </w:r>
      <w:r>
        <w:fldChar w:fldCharType="separate"/>
      </w:r>
      <w:r>
        <w:rPr>
          <w:rStyle w:val="Hyperlink"/>
        </w:rPr>
        <w:t>bmq@gf8.ru</w:t>
      </w:r>
      <w:r>
        <w:fldChar w:fldCharType="end"/>
      </w:r>
      <w:r>
        <w:rPr>
          <w:rStyle w:val="CharStyle18"/>
        </w:rPr>
        <w:t xml:space="preserve"> </w:t>
      </w:r>
      <w:r>
        <w:fldChar w:fldCharType="begin"/>
      </w:r>
      <w:r>
        <w:rPr>
          <w:rStyle w:val="CharStyle18"/>
        </w:rPr>
        <w:instrText> HYPERLINK "mailto:zdanvuk@gf8.ru" </w:instrText>
      </w:r>
      <w:r>
        <w:fldChar w:fldCharType="separate"/>
      </w:r>
      <w:r>
        <w:rPr>
          <w:rStyle w:val="Hyperlink"/>
        </w:rPr>
        <w:t>zdanvuk@gf8.ru</w:t>
      </w:r>
      <w:r>
        <w:fldChar w:fldCharType="end"/>
      </w:r>
      <w:r>
        <w:rPr>
          <w:lang w:val="en-US" w:eastAsia="en-US" w:bidi="en-US"/>
          <w:w w:val="100"/>
          <w:spacing w:val="0"/>
          <w:color w:val="000000"/>
          <w:position w:val="0"/>
        </w:rPr>
        <w:t xml:space="preserve"> </w:t>
      </w:r>
      <w:r>
        <w:rPr>
          <w:rStyle w:val="CharStyle17"/>
        </w:rPr>
        <w:t>Заказчик:</w:t>
      </w:r>
    </w:p>
    <w:p>
      <w:pPr>
        <w:pStyle w:val="Style10"/>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Сургутское городское муниципальное унитарное предприятие "Горводоканал"</w:t>
      </w:r>
    </w:p>
    <w:p>
      <w:pPr>
        <w:pStyle w:val="Style10"/>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628422, Ханты-Мансийский автономный округ-Югра, г. Сургут, ул. Аэрофлотская, 4 Тел.: + 7 (3462) 55-04-41 доб.888, 138 </w:t>
      </w:r>
      <w:r>
        <w:rPr>
          <w:lang w:val="en-US" w:eastAsia="en-US" w:bidi="en-US"/>
          <w:w w:val="100"/>
          <w:spacing w:val="0"/>
          <w:color w:val="000000"/>
          <w:position w:val="0"/>
        </w:rPr>
        <w:t xml:space="preserve">E-mail: </w:t>
      </w:r>
      <w:r>
        <w:fldChar w:fldCharType="begin"/>
      </w:r>
      <w:r>
        <w:rPr>
          <w:color w:val="000000"/>
        </w:rPr>
        <w:instrText> HYPERLINK "mailto:gvk_2018@mail.ru" </w:instrText>
      </w:r>
      <w:r>
        <w:fldChar w:fldCharType="separate"/>
      </w:r>
      <w:r>
        <w:rPr>
          <w:rStyle w:val="Hyperlink"/>
          <w:lang w:val="en-US" w:eastAsia="en-US" w:bidi="en-US"/>
          <w:w w:val="100"/>
          <w:spacing w:val="0"/>
          <w:position w:val="0"/>
        </w:rPr>
        <w:t>gvk_2018@mail.ru</w:t>
      </w:r>
      <w:r>
        <w:fldChar w:fldCharType="end"/>
      </w:r>
      <w:r>
        <w:rPr>
          <w:lang w:val="en-US" w:eastAsia="en-US" w:bidi="en-US"/>
          <w:w w:val="100"/>
          <w:spacing w:val="0"/>
          <w:color w:val="000000"/>
          <w:position w:val="0"/>
        </w:rPr>
        <w:t xml:space="preserve"> </w:t>
      </w:r>
      <w:r>
        <w:rPr>
          <w:rStyle w:val="CharStyle17"/>
        </w:rPr>
        <w:t>Уполномоченный орган:</w:t>
      </w:r>
    </w:p>
    <w:p>
      <w:pPr>
        <w:pStyle w:val="Style10"/>
        <w:widowControl w:val="0"/>
        <w:keepNext w:val="0"/>
        <w:keepLines w:val="0"/>
        <w:shd w:val="clear" w:color="auto" w:fill="auto"/>
        <w:bidi w:val="0"/>
        <w:jc w:val="left"/>
        <w:spacing w:before="0" w:after="0"/>
        <w:ind w:left="4920" w:right="1520" w:firstLine="0"/>
      </w:pPr>
      <w:r>
        <w:rPr>
          <w:lang w:val="ru-RU" w:eastAsia="ru-RU" w:bidi="ru-RU"/>
          <w:w w:val="100"/>
          <w:spacing w:val="0"/>
          <w:color w:val="000000"/>
          <w:position w:val="0"/>
        </w:rPr>
        <w:t>Администрации города (управление муниципальных закупок)</w:t>
      </w:r>
    </w:p>
    <w:p>
      <w:pPr>
        <w:pStyle w:val="Style10"/>
        <w:widowControl w:val="0"/>
        <w:keepNext w:val="0"/>
        <w:keepLines w:val="0"/>
        <w:shd w:val="clear" w:color="auto" w:fill="auto"/>
        <w:bidi w:val="0"/>
        <w:jc w:val="left"/>
        <w:spacing w:before="0" w:after="275"/>
        <w:ind w:left="4920" w:right="420" w:firstLine="0"/>
      </w:pPr>
      <w:r>
        <w:rPr>
          <w:lang w:val="ru-RU" w:eastAsia="ru-RU" w:bidi="ru-RU"/>
          <w:w w:val="100"/>
          <w:spacing w:val="0"/>
          <w:color w:val="000000"/>
          <w:position w:val="0"/>
        </w:rPr>
        <w:t xml:space="preserve">628400, Ханты-Мансийский автономный округ - Югра, город Сургут, улица Энгельса, дом 8 тел.: 8(3462) 52-22-88 </w:t>
      </w:r>
      <w:r>
        <w:rPr>
          <w:lang w:val="en-US" w:eastAsia="en-US" w:bidi="en-US"/>
          <w:w w:val="100"/>
          <w:spacing w:val="0"/>
          <w:color w:val="000000"/>
          <w:position w:val="0"/>
        </w:rPr>
        <w:t xml:space="preserve">e-mail: </w:t>
      </w:r>
      <w:r>
        <w:rPr>
          <w:rStyle w:val="CharStyle18"/>
        </w:rPr>
        <w:t xml:space="preserve">klochkova </w:t>
      </w:r>
      <w:r>
        <w:fldChar w:fldCharType="begin"/>
      </w:r>
      <w:r>
        <w:rPr>
          <w:rStyle w:val="CharStyle18"/>
        </w:rPr>
        <w:instrText> HYPERLINK "mailto:mb@admsurgut.ru" </w:instrText>
      </w:r>
      <w:r>
        <w:fldChar w:fldCharType="separate"/>
      </w:r>
      <w:r>
        <w:rPr>
          <w:rStyle w:val="Hyperlink"/>
        </w:rPr>
        <w:t>mb@admsurgut.ru</w:t>
      </w:r>
      <w:r>
        <w:fldChar w:fldCharType="end"/>
      </w:r>
    </w:p>
    <w:p>
      <w:pPr>
        <w:pStyle w:val="Style3"/>
        <w:widowControl w:val="0"/>
        <w:keepNext w:val="0"/>
        <w:keepLines w:val="0"/>
        <w:shd w:val="clear" w:color="auto" w:fill="auto"/>
        <w:bidi w:val="0"/>
        <w:jc w:val="center"/>
        <w:spacing w:before="0" w:after="211" w:line="230" w:lineRule="exact"/>
        <w:ind w:left="0" w:right="0" w:firstLine="0"/>
      </w:pPr>
      <w:r>
        <w:rPr>
          <w:lang w:val="ru-RU" w:eastAsia="ru-RU" w:bidi="ru-RU"/>
          <w:w w:val="100"/>
          <w:spacing w:val="0"/>
          <w:color w:val="000000"/>
          <w:position w:val="0"/>
        </w:rPr>
        <w:t>РЕШЕНИЕ № 086/06/31-185/2021</w:t>
      </w:r>
    </w:p>
    <w:p>
      <w:pPr>
        <w:pStyle w:val="Style10"/>
        <w:tabs>
          <w:tab w:leader="none" w:pos="7440" w:val="right"/>
          <w:tab w:leader="none" w:pos="8415" w:val="center"/>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Резолютивная часть объявлена 05.02.2021</w:t>
        <w:tab/>
        <w:t>г.</w:t>
        <w:tab/>
        <w:t>Ханты-Мансийск</w:t>
      </w:r>
    </w:p>
    <w:p>
      <w:pPr>
        <w:pStyle w:val="Style10"/>
        <w:widowControl w:val="0"/>
        <w:keepNext w:val="0"/>
        <w:keepLines w:val="0"/>
        <w:shd w:val="clear" w:color="auto" w:fill="auto"/>
        <w:bidi w:val="0"/>
        <w:jc w:val="both"/>
        <w:spacing w:before="0" w:after="243"/>
        <w:ind w:left="20" w:right="0" w:firstLine="0"/>
      </w:pPr>
      <w:r>
        <w:rPr>
          <w:lang w:val="ru-RU" w:eastAsia="ru-RU" w:bidi="ru-RU"/>
          <w:w w:val="100"/>
          <w:spacing w:val="0"/>
          <w:color w:val="000000"/>
          <w:position w:val="0"/>
        </w:rPr>
        <w:t>Изготовлено в полном объеме 08.02.2021</w:t>
      </w:r>
    </w:p>
    <w:p>
      <w:pPr>
        <w:pStyle w:val="Style10"/>
        <w:widowControl w:val="0"/>
        <w:keepNext w:val="0"/>
        <w:keepLines w:val="0"/>
        <w:shd w:val="clear" w:color="auto" w:fill="auto"/>
        <w:bidi w:val="0"/>
        <w:jc w:val="both"/>
        <w:spacing w:before="0" w:after="0" w:line="270" w:lineRule="exact"/>
        <w:ind w:left="20" w:right="0" w:firstLine="70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0"/>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Председателя комиссии:</w:t>
      </w:r>
    </w:p>
    <w:p>
      <w:pPr>
        <w:pStyle w:val="Style10"/>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-Миронов А.Г. - Заместитель руководителя Управления;</w:t>
      </w:r>
    </w:p>
    <w:p>
      <w:pPr>
        <w:pStyle w:val="Style10"/>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Членов комиссии:</w:t>
      </w:r>
    </w:p>
    <w:p>
      <w:pPr>
        <w:pStyle w:val="Style10"/>
        <w:numPr>
          <w:ilvl w:val="0"/>
          <w:numId w:val="1"/>
        </w:numPr>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 xml:space="preserve"> Сафонов С.И. - Ведущий специалист-эксперт отдела Управления;</w:t>
      </w:r>
    </w:p>
    <w:p>
      <w:pPr>
        <w:pStyle w:val="Style10"/>
        <w:numPr>
          <w:ilvl w:val="0"/>
          <w:numId w:val="1"/>
        </w:numPr>
        <w:widowControl w:val="0"/>
        <w:keepNext w:val="0"/>
        <w:keepLines w:val="0"/>
        <w:shd w:val="clear" w:color="auto" w:fill="auto"/>
        <w:bidi w:val="0"/>
        <w:jc w:val="both"/>
        <w:spacing w:before="0" w:after="237"/>
        <w:ind w:left="20" w:right="0" w:firstLine="700"/>
      </w:pPr>
      <w:r>
        <w:rPr>
          <w:lang w:val="ru-RU" w:eastAsia="ru-RU" w:bidi="ru-RU"/>
          <w:w w:val="100"/>
          <w:spacing w:val="0"/>
          <w:color w:val="000000"/>
          <w:position w:val="0"/>
        </w:rPr>
        <w:t xml:space="preserve"> Бычков И.Т. - Государственный инспектор отдела Управления,</w:t>
      </w:r>
    </w:p>
    <w:p>
      <w:pPr>
        <w:pStyle w:val="Style10"/>
        <w:widowControl w:val="0"/>
        <w:keepNext w:val="0"/>
        <w:keepLines w:val="0"/>
        <w:shd w:val="clear" w:color="auto" w:fill="auto"/>
        <w:bidi w:val="0"/>
        <w:jc w:val="both"/>
        <w:spacing w:before="0" w:after="0" w:line="277" w:lineRule="exact"/>
        <w:ind w:left="20" w:right="0" w:firstLine="700"/>
      </w:pPr>
      <w:r>
        <w:rPr>
          <w:lang w:val="ru-RU" w:eastAsia="ru-RU" w:bidi="ru-RU"/>
          <w:w w:val="100"/>
          <w:spacing w:val="0"/>
          <w:color w:val="000000"/>
          <w:position w:val="0"/>
        </w:rPr>
        <w:t>от Заявителя - не явился, о дате, времени и месте рассмотрения жалобы посредством видеоконференц-связи уведомлены надлежащим образом;</w:t>
      </w:r>
    </w:p>
    <w:p>
      <w:pPr>
        <w:pStyle w:val="Style10"/>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от Заказчика - посредством видеоконференц-связи Цветков С.С. по доверенности №10/2020 от 30.04.2020 г.;</w:t>
      </w:r>
    </w:p>
    <w:p>
      <w:pPr>
        <w:pStyle w:val="Style10"/>
        <w:widowControl w:val="0"/>
        <w:keepNext w:val="0"/>
        <w:keepLines w:val="0"/>
        <w:shd w:val="clear" w:color="auto" w:fill="auto"/>
        <w:bidi w:val="0"/>
        <w:jc w:val="both"/>
        <w:spacing w:before="0" w:after="243" w:line="281" w:lineRule="exact"/>
        <w:ind w:left="20" w:right="0" w:firstLine="700"/>
      </w:pPr>
      <w:r>
        <w:rPr>
          <w:lang w:val="ru-RU" w:eastAsia="ru-RU" w:bidi="ru-RU"/>
          <w:w w:val="100"/>
          <w:spacing w:val="0"/>
          <w:color w:val="000000"/>
          <w:position w:val="0"/>
        </w:rPr>
        <w:t>от Уполномоченного органа - посредством видеоконференц-связи Мальцева Л.И. по доверенности №371 от 29.08.2019г.,</w:t>
      </w:r>
    </w:p>
    <w:p>
      <w:pPr>
        <w:pStyle w:val="Style10"/>
        <w:widowControl w:val="0"/>
        <w:keepNext w:val="0"/>
        <w:keepLines w:val="0"/>
        <w:shd w:val="clear" w:color="auto" w:fill="auto"/>
        <w:bidi w:val="0"/>
        <w:jc w:val="both"/>
        <w:spacing w:before="0" w:after="0" w:line="277" w:lineRule="exact"/>
        <w:ind w:left="20" w:right="0" w:firstLine="700"/>
      </w:pPr>
      <w:r>
        <w:rPr>
          <w:lang w:val="ru-RU" w:eastAsia="ru-RU" w:bidi="ru-RU"/>
          <w:w w:val="100"/>
          <w:spacing w:val="0"/>
          <w:color w:val="000000"/>
          <w:position w:val="0"/>
        </w:rPr>
        <w:t>рассмотрев жалобу ООО "Группа финансы" (ИНН 2312145943 ОГРН: 1082312000110) от</w:t>
      </w:r>
    </w:p>
    <w:p>
      <w:pPr>
        <w:pStyle w:val="Style10"/>
        <w:numPr>
          <w:ilvl w:val="0"/>
          <w:numId w:val="3"/>
        </w:numPr>
        <w:tabs>
          <w:tab w:leader="none" w:pos="1214" w:val="left"/>
        </w:tabs>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№180-ж на действия Заказчика — Сургутское городское муниципальное унитарное предприятие "Горводоканал", Уполномоченного органа - Администрации города (управление муниципальных закупок), при проведении открытого конкурса в электронной форме предметом, которого является оказание услуг по проведению обязательного аудита годовой бухгалтерской (финансовой) отчетности за 2020 год (извещение № 0187300006520003313) и в результате</w:t>
      </w:r>
    </w:p>
    <w:p>
      <w:pPr>
        <w:pStyle w:val="Style10"/>
        <w:widowControl w:val="0"/>
        <w:keepNext w:val="0"/>
        <w:keepLines w:val="0"/>
        <w:shd w:val="clear" w:color="auto" w:fill="auto"/>
        <w:bidi w:val="0"/>
        <w:jc w:val="center"/>
        <w:spacing w:before="0" w:after="0" w:line="277" w:lineRule="exact"/>
        <w:ind w:left="0" w:right="0" w:firstLine="0"/>
      </w:pPr>
      <w:r>
        <w:rPr>
          <w:lang w:val="ru-RU" w:eastAsia="ru-RU" w:bidi="ru-RU"/>
          <w:w w:val="100"/>
          <w:spacing w:val="0"/>
          <w:color w:val="000000"/>
          <w:position w:val="0"/>
        </w:rPr>
        <w:t>1</w:t>
      </w:r>
      <w:r>
        <w:br w:type="page"/>
      </w:r>
    </w:p>
    <w:p>
      <w:pPr>
        <w:pStyle w:val="Style10"/>
        <w:widowControl w:val="0"/>
        <w:keepNext w:val="0"/>
        <w:keepLines w:val="0"/>
        <w:shd w:val="clear" w:color="auto" w:fill="auto"/>
        <w:bidi w:val="0"/>
        <w:jc w:val="both"/>
        <w:spacing w:before="0" w:after="155"/>
        <w:ind w:left="20" w:right="80" w:firstLine="0"/>
      </w:pPr>
      <w:r>
        <w:rPr>
          <w:lang w:val="ru-RU" w:eastAsia="ru-RU" w:bidi="ru-RU"/>
          <w:w w:val="100"/>
          <w:spacing w:val="0"/>
          <w:color w:val="000000"/>
          <w:position w:val="0"/>
        </w:rPr>
        <w:t xml:space="preserve">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9"/>
        <w:widowControl w:val="0"/>
        <w:keepNext/>
        <w:keepLines/>
        <w:shd w:val="clear" w:color="auto" w:fill="auto"/>
        <w:bidi w:val="0"/>
        <w:spacing w:before="0" w:after="141" w:line="230" w:lineRule="exact"/>
        <w:ind w:left="60" w:right="0" w:firstLine="0"/>
      </w:pPr>
      <w:bookmarkStart w:id="0" w:name="bookmark0"/>
      <w:r>
        <w:rPr>
          <w:lang w:val="ru-RU" w:eastAsia="ru-RU" w:bidi="ru-RU"/>
          <w:w w:val="100"/>
          <w:spacing w:val="0"/>
          <w:color w:val="000000"/>
          <w:position w:val="0"/>
        </w:rPr>
        <w:t>УСТАНОВИЛА:</w:t>
      </w:r>
      <w:bookmarkEnd w:id="0"/>
    </w:p>
    <w:p>
      <w:pPr>
        <w:pStyle w:val="Style10"/>
        <w:widowControl w:val="0"/>
        <w:keepNext w:val="0"/>
        <w:keepLines w:val="0"/>
        <w:shd w:val="clear" w:color="auto" w:fill="auto"/>
        <w:bidi w:val="0"/>
        <w:jc w:val="both"/>
        <w:spacing w:before="0" w:after="0" w:line="277" w:lineRule="exact"/>
        <w:ind w:left="20" w:right="80" w:firstLine="70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"Группа финансы" (ИНН 2312145943 ОГРН: 1082312000110) от 29.01.2021 №180-ж на действия Заказчика, аукционную комиссию при проведении электронного аукциона (извещение № 0187300006520003313).</w:t>
      </w:r>
    </w:p>
    <w:p>
      <w:pPr>
        <w:pStyle w:val="Style10"/>
        <w:widowControl w:val="0"/>
        <w:keepNext w:val="0"/>
        <w:keepLines w:val="0"/>
        <w:shd w:val="clear" w:color="auto" w:fill="auto"/>
        <w:bidi w:val="0"/>
        <w:jc w:val="both"/>
        <w:spacing w:before="0" w:after="0" w:line="277" w:lineRule="exact"/>
        <w:ind w:left="20" w:right="0" w:firstLine="700"/>
      </w:pPr>
      <w:r>
        <w:rPr>
          <w:lang w:val="ru-RU" w:eastAsia="ru-RU" w:bidi="ru-RU"/>
          <w:w w:val="100"/>
          <w:spacing w:val="0"/>
          <w:color w:val="000000"/>
          <w:position w:val="0"/>
        </w:rPr>
        <w:t>В доводах жалобы Заявитель указал следующее:</w:t>
      </w:r>
    </w:p>
    <w:p>
      <w:pPr>
        <w:pStyle w:val="Style10"/>
        <w:widowControl w:val="0"/>
        <w:keepNext w:val="0"/>
        <w:keepLines w:val="0"/>
        <w:shd w:val="clear" w:color="auto" w:fill="auto"/>
        <w:bidi w:val="0"/>
        <w:jc w:val="both"/>
        <w:spacing w:before="0" w:after="243" w:line="277" w:lineRule="exact"/>
        <w:ind w:left="20" w:right="80" w:firstLine="700"/>
      </w:pPr>
      <w:r>
        <w:rPr>
          <w:lang w:val="ru-RU" w:eastAsia="ru-RU" w:bidi="ru-RU"/>
          <w:w w:val="100"/>
          <w:spacing w:val="0"/>
          <w:color w:val="000000"/>
          <w:position w:val="0"/>
        </w:rPr>
        <w:t xml:space="preserve">По мнению Заявителя, </w:t>
      </w:r>
      <w:r>
        <w:rPr>
          <w:rStyle w:val="CharStyle17"/>
        </w:rPr>
        <w:t xml:space="preserve">порядок рассмотрения и оценки заявок на участие в конкурсе был нарушен, </w:t>
      </w:r>
      <w:r>
        <w:rPr>
          <w:lang w:val="ru-RU" w:eastAsia="ru-RU" w:bidi="ru-RU"/>
          <w:w w:val="100"/>
          <w:spacing w:val="0"/>
          <w:color w:val="000000"/>
          <w:position w:val="0"/>
        </w:rPr>
        <w:t xml:space="preserve">в части оценки критерия «Квалификация участника» по показателю </w:t>
      </w:r>
      <w:r>
        <w:rPr>
          <w:rStyle w:val="CharStyle17"/>
        </w:rPr>
        <w:t xml:space="preserve">№1 </w:t>
      </w:r>
      <w:r>
        <w:rPr>
          <w:lang w:val="ru-RU" w:eastAsia="ru-RU" w:bidi="ru-RU"/>
          <w:w w:val="100"/>
          <w:spacing w:val="0"/>
          <w:color w:val="000000"/>
          <w:position w:val="0"/>
        </w:rPr>
        <w:t>«опыт на рынке аудиторских услуг».</w:t>
      </w:r>
    </w:p>
    <w:p>
      <w:pPr>
        <w:pStyle w:val="Style19"/>
        <w:widowControl w:val="0"/>
        <w:keepNext/>
        <w:keepLines/>
        <w:shd w:val="clear" w:color="auto" w:fill="auto"/>
        <w:bidi w:val="0"/>
        <w:jc w:val="both"/>
        <w:spacing w:before="0" w:after="0" w:line="274" w:lineRule="exact"/>
        <w:ind w:left="20" w:right="0" w:firstLine="700"/>
      </w:pPr>
      <w:bookmarkStart w:id="1" w:name="bookmark1"/>
      <w:r>
        <w:rPr>
          <w:lang w:val="ru-RU" w:eastAsia="ru-RU" w:bidi="ru-RU"/>
          <w:w w:val="100"/>
          <w:spacing w:val="0"/>
          <w:color w:val="000000"/>
          <w:position w:val="0"/>
        </w:rPr>
        <w:t>В ходе рассмотрения доводов сторон Комиссией Управления установлено следующее.</w:t>
      </w:r>
      <w:bookmarkEnd w:id="1"/>
    </w:p>
    <w:p>
      <w:pPr>
        <w:pStyle w:val="Style10"/>
        <w:widowControl w:val="0"/>
        <w:keepNext w:val="0"/>
        <w:keepLines w:val="0"/>
        <w:shd w:val="clear" w:color="auto" w:fill="auto"/>
        <w:bidi w:val="0"/>
        <w:jc w:val="both"/>
        <w:spacing w:before="0" w:after="0"/>
        <w:ind w:left="20" w:right="80" w:firstLine="700"/>
      </w:pPr>
      <w:r>
        <w:rPr>
          <w:lang w:val="ru-RU" w:eastAsia="ru-RU" w:bidi="ru-RU"/>
          <w:w w:val="100"/>
          <w:spacing w:val="0"/>
          <w:color w:val="000000"/>
          <w:position w:val="0"/>
        </w:rPr>
        <w:t>В соответствии с частью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0"/>
        <w:widowControl w:val="0"/>
        <w:keepNext w:val="0"/>
        <w:keepLines w:val="0"/>
        <w:shd w:val="clear" w:color="auto" w:fill="auto"/>
        <w:bidi w:val="0"/>
        <w:jc w:val="both"/>
        <w:spacing w:before="0" w:after="0"/>
        <w:ind w:left="20" w:right="80" w:firstLine="700"/>
      </w:pPr>
      <w:r>
        <w:rPr>
          <w:lang w:val="ru-RU" w:eastAsia="ru-RU" w:bidi="ru-RU"/>
          <w:w w:val="100"/>
          <w:spacing w:val="0"/>
          <w:color w:val="000000"/>
          <w:position w:val="0"/>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10"/>
        <w:numPr>
          <w:ilvl w:val="0"/>
          <w:numId w:val="5"/>
        </w:numPr>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 xml:space="preserve"> финансовых ресурсов для исполнения контракта;</w:t>
      </w:r>
    </w:p>
    <w:p>
      <w:pPr>
        <w:pStyle w:val="Style10"/>
        <w:numPr>
          <w:ilvl w:val="0"/>
          <w:numId w:val="5"/>
        </w:numPr>
        <w:widowControl w:val="0"/>
        <w:keepNext w:val="0"/>
        <w:keepLines w:val="0"/>
        <w:shd w:val="clear" w:color="auto" w:fill="auto"/>
        <w:bidi w:val="0"/>
        <w:jc w:val="both"/>
        <w:spacing w:before="0" w:after="0"/>
        <w:ind w:left="20" w:right="80" w:firstLine="70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10"/>
        <w:numPr>
          <w:ilvl w:val="0"/>
          <w:numId w:val="5"/>
        </w:numPr>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10"/>
        <w:numPr>
          <w:ilvl w:val="0"/>
          <w:numId w:val="5"/>
        </w:numPr>
        <w:widowControl w:val="0"/>
        <w:keepNext w:val="0"/>
        <w:keepLines w:val="0"/>
        <w:shd w:val="clear" w:color="auto" w:fill="auto"/>
        <w:bidi w:val="0"/>
        <w:jc w:val="both"/>
        <w:spacing w:before="0" w:after="0"/>
        <w:ind w:left="20" w:right="80" w:firstLine="70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10"/>
        <w:widowControl w:val="0"/>
        <w:keepNext w:val="0"/>
        <w:keepLines w:val="0"/>
        <w:shd w:val="clear" w:color="auto" w:fill="auto"/>
        <w:bidi w:val="0"/>
        <w:jc w:val="both"/>
        <w:spacing w:before="0" w:after="0"/>
        <w:ind w:left="20" w:right="80" w:firstLine="700"/>
      </w:pPr>
      <w:r>
        <w:rPr>
          <w:lang w:val="ru-RU" w:eastAsia="ru-RU" w:bidi="ru-RU"/>
          <w:w w:val="100"/>
          <w:spacing w:val="0"/>
          <w:color w:val="000000"/>
          <w:position w:val="0"/>
        </w:rPr>
        <w:t>В силу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0"/>
        <w:widowControl w:val="0"/>
        <w:keepNext w:val="0"/>
        <w:keepLines w:val="0"/>
        <w:shd w:val="clear" w:color="auto" w:fill="auto"/>
        <w:bidi w:val="0"/>
        <w:jc w:val="both"/>
        <w:spacing w:before="0" w:after="0"/>
        <w:ind w:left="20" w:right="80" w:firstLine="700"/>
      </w:pPr>
      <w:r>
        <w:rPr>
          <w:lang w:val="ru-RU" w:eastAsia="ru-RU" w:bidi="ru-RU"/>
          <w:w w:val="100"/>
          <w:spacing w:val="0"/>
          <w:color w:val="000000"/>
          <w:position w:val="0"/>
        </w:rPr>
        <w:t xml:space="preserve">В силу пункта 23 Постановления Правительства РФ от 28.11.2013 </w:t>
      </w:r>
      <w:r>
        <w:rPr>
          <w:lang w:val="en-US" w:eastAsia="en-US" w:bidi="en-US"/>
          <w:w w:val="100"/>
          <w:spacing w:val="0"/>
          <w:color w:val="000000"/>
          <w:position w:val="0"/>
        </w:rPr>
        <w:t xml:space="preserve">N </w:t>
      </w:r>
      <w:r>
        <w:rPr>
          <w:lang w:val="ru-RU" w:eastAsia="ru-RU" w:bidi="ru-RU"/>
          <w:w w:val="100"/>
          <w:spacing w:val="0"/>
          <w:color w:val="000000"/>
          <w:position w:val="0"/>
        </w:rPr>
        <w:t>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установлено, что в случае если для заказчика лучшим условием исполнения контракта по критерию оценки (показателю) является наибольшее значение критерия оценки (показателя), за исключением случая, предусмотренного пунктом 24 настоящих Правил, количество баллов, присуждаемых по критерию оценки (показателю) (НЦБО, определяется по формуле:</w:t>
      </w:r>
    </w:p>
    <w:p>
      <w:pPr>
        <w:pStyle w:val="Style10"/>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 xml:space="preserve">НЦБ, = КЗх 100 х </w:t>
      </w:r>
      <w:r>
        <w:rPr>
          <w:rStyle w:val="CharStyle21"/>
        </w:rPr>
        <w:t xml:space="preserve">(Ki </w:t>
      </w:r>
      <w:r>
        <w:rPr>
          <w:lang w:val="ru-RU" w:eastAsia="ru-RU" w:bidi="ru-RU"/>
          <w:w w:val="100"/>
          <w:spacing w:val="0"/>
          <w:color w:val="000000"/>
          <w:position w:val="0"/>
        </w:rPr>
        <w:t xml:space="preserve">/ </w:t>
      </w:r>
      <w:r>
        <w:rPr>
          <w:rStyle w:val="CharStyle21"/>
        </w:rPr>
        <w:t>Kmax),</w:t>
      </w:r>
    </w:p>
    <w:p>
      <w:pPr>
        <w:pStyle w:val="Style10"/>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где:</w:t>
      </w:r>
    </w:p>
    <w:p>
      <w:pPr>
        <w:pStyle w:val="Style10"/>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КЗ - коэффициент значимости показателя.</w:t>
      </w:r>
    </w:p>
    <w:p>
      <w:pPr>
        <w:pStyle w:val="Style10"/>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В случае если используется один показатель, КЗ = 1;</w:t>
      </w:r>
    </w:p>
    <w:p>
      <w:pPr>
        <w:pStyle w:val="Style22"/>
        <w:widowControl w:val="0"/>
        <w:keepNext w:val="0"/>
        <w:keepLines w:val="0"/>
        <w:shd w:val="clear" w:color="auto" w:fill="auto"/>
        <w:bidi w:val="0"/>
        <w:spacing w:before="0" w:after="0"/>
        <w:ind w:left="20" w:right="0"/>
      </w:pPr>
      <w:r>
        <w:rPr>
          <w:lang w:val="en-US" w:eastAsia="en-US" w:bidi="en-US"/>
          <w:w w:val="100"/>
          <w:spacing w:val="0"/>
          <w:color w:val="000000"/>
          <w:position w:val="0"/>
        </w:rPr>
        <w:t xml:space="preserve">Ki </w:t>
      </w:r>
      <w:r>
        <w:rPr>
          <w:lang w:val="ru-RU" w:eastAsia="ru-RU" w:bidi="ru-RU"/>
          <w:w w:val="100"/>
          <w:spacing w:val="0"/>
          <w:color w:val="000000"/>
          <w:position w:val="0"/>
        </w:rPr>
        <w:t>- предложение участника закупки, заявка (предложение) которого оценивается;</w:t>
      </w:r>
    </w:p>
    <w:p>
      <w:pPr>
        <w:pStyle w:val="Style10"/>
        <w:widowControl w:val="0"/>
        <w:keepNext w:val="0"/>
        <w:keepLines w:val="0"/>
        <w:shd w:val="clear" w:color="auto" w:fill="auto"/>
        <w:bidi w:val="0"/>
        <w:jc w:val="both"/>
        <w:spacing w:before="0" w:after="0"/>
        <w:ind w:left="20" w:right="80" w:firstLine="700"/>
      </w:pPr>
      <w:r>
        <w:rPr>
          <w:lang w:val="en-US" w:eastAsia="en-US" w:bidi="en-US"/>
          <w:w w:val="100"/>
          <w:spacing w:val="0"/>
          <w:color w:val="000000"/>
          <w:position w:val="0"/>
        </w:rPr>
        <w:t xml:space="preserve">Kmax </w:t>
      </w:r>
      <w:r>
        <w:rPr>
          <w:lang w:val="ru-RU" w:eastAsia="ru-RU" w:bidi="ru-RU"/>
          <w:w w:val="100"/>
          <w:spacing w:val="0"/>
          <w:color w:val="000000"/>
          <w:position w:val="0"/>
        </w:rPr>
        <w:t>- максимальное предложение из предложений по критерию оценки, сделанных участниками закупки.</w:t>
      </w:r>
    </w:p>
    <w:p>
      <w:pPr>
        <w:pStyle w:val="Style10"/>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Согласно пункту 3.3.2 конкурсной документации Заказчиком установлено следующее:</w:t>
      </w:r>
    </w:p>
    <w:p>
      <w:pPr>
        <w:pStyle w:val="Style10"/>
        <w:widowControl w:val="0"/>
        <w:keepNext w:val="0"/>
        <w:keepLines w:val="0"/>
        <w:shd w:val="clear" w:color="auto" w:fill="auto"/>
        <w:bidi w:val="0"/>
        <w:jc w:val="both"/>
        <w:spacing w:before="0" w:after="0"/>
        <w:ind w:left="20" w:right="80" w:firstLine="700"/>
      </w:pPr>
      <w:r>
        <w:rPr>
          <w:lang w:val="ru-RU" w:eastAsia="ru-RU" w:bidi="ru-RU"/>
          <w:w w:val="100"/>
          <w:spacing w:val="0"/>
          <w:color w:val="000000"/>
          <w:position w:val="0"/>
        </w:rPr>
        <w:t>«3.3.2. Критерий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w:t>
      </w:r>
    </w:p>
    <w:p>
      <w:pPr>
        <w:pStyle w:val="Style24"/>
        <w:framePr w:w="10411" w:wrap="notBeside" w:vAnchor="text" w:hAnchor="text" w:xAlign="center" w:y="1"/>
        <w:tabs>
          <w:tab w:leader="underscore" w:pos="7376" w:val="left"/>
          <w:tab w:leader="underscore" w:pos="10076" w:val="lef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контракта, и деловой репутации, специалистов и иных работников определенного уровня </w:t>
      </w:r>
      <w:r>
        <w:rPr>
          <w:rStyle w:val="CharStyle26"/>
        </w:rPr>
        <w:t>квалификации» (значимость критерия 70%):</w:t>
      </w:r>
      <w:r>
        <w:rPr>
          <w:lang w:val="ru-RU" w:eastAsia="ru-RU" w:bidi="ru-RU"/>
          <w:w w:val="100"/>
          <w:spacing w:val="0"/>
          <w:color w:val="000000"/>
          <w:position w:val="0"/>
        </w:rPr>
        <w:tab/>
        <w:tab/>
      </w:r>
    </w:p>
    <w:tbl>
      <w:tblPr>
        <w:tblOverlap w:val="never"/>
        <w:tblLayout w:type="fixed"/>
        <w:jc w:val="center"/>
      </w:tblPr>
      <w:tblGrid>
        <w:gridCol w:w="572"/>
        <w:gridCol w:w="1267"/>
        <w:gridCol w:w="1573"/>
        <w:gridCol w:w="1454"/>
        <w:gridCol w:w="2822"/>
        <w:gridCol w:w="2722"/>
      </w:tblGrid>
      <w:tr>
        <w:trPr>
          <w:trHeight w:val="1868" w:hRule="exact"/>
        </w:trPr>
        <w:tc>
          <w:tcPr>
            <w:shd w:val="clear" w:color="auto" w:fill="FFFFFF"/>
            <w:tcBorders>
              <w:left w:val="single" w:sz="4"/>
              <w:top w:val="single" w:sz="4"/>
            </w:tcBorders>
            <w:vAlign w:val="center"/>
          </w:tcPr>
          <w:p>
            <w:pPr>
              <w:pStyle w:val="Style10"/>
              <w:framePr w:w="10411" w:wrap="notBeside" w:vAnchor="text" w:hAnchor="text" w:xAlign="center" w:y="1"/>
              <w:widowControl w:val="0"/>
              <w:keepNext w:val="0"/>
              <w:keepLines w:val="0"/>
              <w:shd w:val="clear" w:color="auto" w:fill="auto"/>
              <w:bidi w:val="0"/>
              <w:jc w:val="left"/>
              <w:spacing w:before="0" w:after="0" w:line="170" w:lineRule="exact"/>
              <w:ind w:left="180" w:right="0" w:firstLine="0"/>
            </w:pPr>
            <w:r>
              <w:rPr>
                <w:rStyle w:val="CharStyle27"/>
              </w:rPr>
              <w:t>п/п</w:t>
            </w:r>
          </w:p>
        </w:tc>
        <w:tc>
          <w:tcPr>
            <w:shd w:val="clear" w:color="auto" w:fill="FFFFFF"/>
            <w:tcBorders>
              <w:left w:val="single" w:sz="4"/>
              <w:top w:val="single" w:sz="4"/>
            </w:tcBorders>
            <w:vAlign w:val="center"/>
          </w:tcPr>
          <w:p>
            <w:pPr>
              <w:pStyle w:val="Style10"/>
              <w:framePr w:w="10411" w:wrap="notBeside" w:vAnchor="text" w:hAnchor="text" w:xAlign="center" w:y="1"/>
              <w:widowControl w:val="0"/>
              <w:keepNext w:val="0"/>
              <w:keepLines w:val="0"/>
              <w:shd w:val="clear" w:color="auto" w:fill="auto"/>
              <w:bidi w:val="0"/>
              <w:spacing w:before="0" w:after="0" w:line="230" w:lineRule="exact"/>
              <w:ind w:left="0" w:right="120" w:firstLine="0"/>
            </w:pPr>
            <w:r>
              <w:rPr>
                <w:rStyle w:val="CharStyle27"/>
              </w:rPr>
              <w:t>Наименован</w:t>
            </w:r>
          </w:p>
          <w:p>
            <w:pPr>
              <w:pStyle w:val="Style10"/>
              <w:framePr w:w="1041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7"/>
              </w:rPr>
              <w:t>ие</w:t>
            </w:r>
          </w:p>
          <w:p>
            <w:pPr>
              <w:pStyle w:val="Style10"/>
              <w:framePr w:w="1041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7"/>
              </w:rPr>
              <w:t>показателя</w:t>
            </w:r>
          </w:p>
          <w:p>
            <w:pPr>
              <w:pStyle w:val="Style10"/>
              <w:framePr w:w="10411" w:wrap="notBeside" w:vAnchor="text" w:hAnchor="text" w:xAlign="center" w:y="1"/>
              <w:widowControl w:val="0"/>
              <w:keepNext w:val="0"/>
              <w:keepLines w:val="0"/>
              <w:shd w:val="clear" w:color="auto" w:fill="auto"/>
              <w:bidi w:val="0"/>
              <w:spacing w:before="0" w:after="0" w:line="230" w:lineRule="exact"/>
              <w:ind w:left="0" w:right="400" w:firstLine="0"/>
            </w:pPr>
            <w:r>
              <w:rPr>
                <w:rStyle w:val="CharStyle27"/>
              </w:rPr>
              <w:t>критерия</w:t>
            </w:r>
          </w:p>
        </w:tc>
        <w:tc>
          <w:tcPr>
            <w:shd w:val="clear" w:color="auto" w:fill="FFFFFF"/>
            <w:tcBorders>
              <w:left w:val="single" w:sz="4"/>
              <w:top w:val="single" w:sz="4"/>
            </w:tcBorders>
            <w:vAlign w:val="center"/>
          </w:tcPr>
          <w:p>
            <w:pPr>
              <w:pStyle w:val="Style10"/>
              <w:framePr w:w="10411"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7"/>
              </w:rPr>
              <w:t>Значение</w:t>
            </w:r>
          </w:p>
        </w:tc>
        <w:tc>
          <w:tcPr>
            <w:shd w:val="clear" w:color="auto" w:fill="FFFFFF"/>
            <w:tcBorders>
              <w:left w:val="single" w:sz="4"/>
              <w:top w:val="single" w:sz="4"/>
            </w:tcBorders>
            <w:vAlign w:val="center"/>
          </w:tcPr>
          <w:p>
            <w:pPr>
              <w:pStyle w:val="Style10"/>
              <w:framePr w:w="10411"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7"/>
              </w:rPr>
              <w:t>Коэффициент</w:t>
            </w:r>
          </w:p>
          <w:p>
            <w:pPr>
              <w:pStyle w:val="Style10"/>
              <w:framePr w:w="1041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7"/>
              </w:rPr>
              <w:t>значимости</w:t>
            </w:r>
          </w:p>
          <w:p>
            <w:pPr>
              <w:pStyle w:val="Style10"/>
              <w:framePr w:w="1041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7"/>
              </w:rPr>
              <w:t>показателя</w:t>
            </w:r>
          </w:p>
        </w:tc>
        <w:tc>
          <w:tcPr>
            <w:shd w:val="clear" w:color="auto" w:fill="FFFFFF"/>
            <w:tcBorders>
              <w:left w:val="single" w:sz="4"/>
              <w:top w:val="single" w:sz="4"/>
            </w:tcBorders>
            <w:vAlign w:val="bottom"/>
          </w:tcPr>
          <w:p>
            <w:pPr>
              <w:pStyle w:val="Style10"/>
              <w:framePr w:w="10411" w:wrap="notBeside" w:vAnchor="text" w:hAnchor="text" w:xAlign="center" w:y="1"/>
              <w:widowControl w:val="0"/>
              <w:keepNext w:val="0"/>
              <w:keepLines w:val="0"/>
              <w:shd w:val="clear" w:color="auto" w:fill="auto"/>
              <w:bidi w:val="0"/>
              <w:jc w:val="both"/>
              <w:spacing w:before="0" w:after="0" w:line="230" w:lineRule="exact"/>
              <w:ind w:left="0" w:right="0" w:firstLine="0"/>
            </w:pPr>
            <w:r>
              <w:rPr>
                <w:rStyle w:val="CharStyle27"/>
              </w:rPr>
              <w:t>Формула расчета количества баллов и (или) шкала оценки или шкала предельных величин значимости показателей оценки, устанавливающая интервалы их изменений, или порядок их определения</w:t>
            </w:r>
          </w:p>
        </w:tc>
        <w:tc>
          <w:tcPr>
            <w:shd w:val="clear" w:color="auto" w:fill="FFFFFF"/>
            <w:tcBorders>
              <w:left w:val="single" w:sz="4"/>
              <w:right w:val="single" w:sz="4"/>
              <w:top w:val="single" w:sz="4"/>
            </w:tcBorders>
            <w:vAlign w:val="center"/>
          </w:tcPr>
          <w:p>
            <w:pPr>
              <w:pStyle w:val="Style10"/>
              <w:framePr w:w="1041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7"/>
              </w:rPr>
              <w:t>Документы, подтверждаю щие квалификацию участника</w:t>
            </w:r>
          </w:p>
        </w:tc>
      </w:tr>
      <w:tr>
        <w:trPr>
          <w:trHeight w:val="389" w:hRule="exact"/>
        </w:trPr>
        <w:tc>
          <w:tcPr>
            <w:shd w:val="clear" w:color="auto" w:fill="FFFFFF"/>
            <w:tcBorders>
              <w:left w:val="single" w:sz="4"/>
              <w:top w:val="single" w:sz="4"/>
            </w:tcBorders>
            <w:vAlign w:val="top"/>
          </w:tcPr>
          <w:p>
            <w:pPr>
              <w:framePr w:w="1041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411" w:wrap="notBeside" w:vAnchor="text" w:hAnchor="text" w:xAlign="center" w:y="1"/>
              <w:widowControl w:val="0"/>
              <w:keepNext w:val="0"/>
              <w:keepLines w:val="0"/>
              <w:shd w:val="clear" w:color="auto" w:fill="auto"/>
              <w:bidi w:val="0"/>
              <w:spacing w:before="0" w:after="0" w:line="170" w:lineRule="exact"/>
              <w:ind w:left="0" w:right="400" w:firstLine="0"/>
            </w:pPr>
            <w:r>
              <w:rPr>
                <w:rStyle w:val="CharStyle27"/>
              </w:rPr>
              <w:t>2</w:t>
            </w:r>
          </w:p>
        </w:tc>
        <w:tc>
          <w:tcPr>
            <w:shd w:val="clear" w:color="auto" w:fill="FFFFFF"/>
            <w:tcBorders>
              <w:left w:val="single" w:sz="4"/>
              <w:top w:val="single" w:sz="4"/>
            </w:tcBorders>
            <w:vAlign w:val="center"/>
          </w:tcPr>
          <w:p>
            <w:pPr>
              <w:pStyle w:val="Style10"/>
              <w:framePr w:w="1041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27"/>
              </w:rPr>
              <w:t>3</w:t>
            </w:r>
          </w:p>
        </w:tc>
        <w:tc>
          <w:tcPr>
            <w:shd w:val="clear" w:color="auto" w:fill="FFFFFF"/>
            <w:tcBorders>
              <w:left w:val="single" w:sz="4"/>
              <w:top w:val="single" w:sz="4"/>
            </w:tcBorders>
            <w:vAlign w:val="center"/>
          </w:tcPr>
          <w:p>
            <w:pPr>
              <w:pStyle w:val="Style10"/>
              <w:framePr w:w="10411" w:wrap="notBeside" w:vAnchor="text" w:hAnchor="text" w:xAlign="center" w:y="1"/>
              <w:widowControl w:val="0"/>
              <w:keepNext w:val="0"/>
              <w:keepLines w:val="0"/>
              <w:shd w:val="clear" w:color="auto" w:fill="auto"/>
              <w:bidi w:val="0"/>
              <w:jc w:val="left"/>
              <w:spacing w:before="0" w:after="0" w:line="170" w:lineRule="exact"/>
              <w:ind w:left="840" w:right="0" w:firstLine="0"/>
            </w:pPr>
            <w:r>
              <w:rPr>
                <w:rStyle w:val="CharStyle27"/>
              </w:rPr>
              <w:t>4</w:t>
            </w:r>
          </w:p>
        </w:tc>
        <w:tc>
          <w:tcPr>
            <w:shd w:val="clear" w:color="auto" w:fill="FFFFFF"/>
            <w:tcBorders>
              <w:left w:val="single" w:sz="4"/>
              <w:top w:val="single" w:sz="4"/>
            </w:tcBorders>
            <w:vAlign w:val="center"/>
          </w:tcPr>
          <w:p>
            <w:pPr>
              <w:pStyle w:val="Style10"/>
              <w:framePr w:w="10411" w:wrap="notBeside" w:vAnchor="text" w:hAnchor="text" w:xAlign="center" w:y="1"/>
              <w:widowControl w:val="0"/>
              <w:keepNext w:val="0"/>
              <w:keepLines w:val="0"/>
              <w:shd w:val="clear" w:color="auto" w:fill="auto"/>
              <w:bidi w:val="0"/>
              <w:jc w:val="both"/>
              <w:spacing w:before="0" w:after="0" w:line="170" w:lineRule="exact"/>
              <w:ind w:left="0" w:right="0" w:firstLine="700"/>
            </w:pPr>
            <w:r>
              <w:rPr>
                <w:rStyle w:val="CharStyle27"/>
              </w:rPr>
              <w:t>5</w:t>
            </w:r>
          </w:p>
        </w:tc>
        <w:tc>
          <w:tcPr>
            <w:shd w:val="clear" w:color="auto" w:fill="FFFFFF"/>
            <w:tcBorders>
              <w:left w:val="single" w:sz="4"/>
              <w:right w:val="single" w:sz="4"/>
              <w:top w:val="single" w:sz="4"/>
            </w:tcBorders>
            <w:vAlign w:val="bottom"/>
          </w:tcPr>
          <w:p>
            <w:pPr>
              <w:pStyle w:val="Style10"/>
              <w:framePr w:w="10411" w:wrap="notBeside" w:vAnchor="text" w:hAnchor="text" w:xAlign="center" w:y="1"/>
              <w:widowControl w:val="0"/>
              <w:keepNext w:val="0"/>
              <w:keepLines w:val="0"/>
              <w:shd w:val="clear" w:color="auto" w:fill="auto"/>
              <w:bidi w:val="0"/>
              <w:jc w:val="left"/>
              <w:spacing w:before="0" w:after="0" w:line="170" w:lineRule="exact"/>
              <w:ind w:left="820" w:right="0" w:firstLine="0"/>
            </w:pPr>
            <w:r>
              <w:rPr>
                <w:rStyle w:val="CharStyle27"/>
              </w:rPr>
              <w:t>6</w:t>
            </w:r>
          </w:p>
        </w:tc>
      </w:tr>
      <w:tr>
        <w:trPr>
          <w:trHeight w:val="3917" w:hRule="exact"/>
        </w:trPr>
        <w:tc>
          <w:tcPr>
            <w:shd w:val="clear" w:color="auto" w:fill="FFFFFF"/>
            <w:tcBorders>
              <w:left w:val="single" w:sz="4"/>
              <w:top w:val="single" w:sz="4"/>
            </w:tcBorders>
            <w:vAlign w:val="top"/>
          </w:tcPr>
          <w:p>
            <w:pPr>
              <w:framePr w:w="1041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41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7"/>
              </w:rPr>
              <w:t>Опыт</w:t>
            </w:r>
          </w:p>
          <w:p>
            <w:pPr>
              <w:pStyle w:val="Style10"/>
              <w:framePr w:w="1041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7"/>
              </w:rPr>
              <w:t>работы</w:t>
            </w:r>
          </w:p>
          <w:p>
            <w:pPr>
              <w:pStyle w:val="Style10"/>
              <w:framePr w:w="1041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7"/>
              </w:rPr>
              <w:t>участника</w:t>
            </w:r>
          </w:p>
          <w:p>
            <w:pPr>
              <w:pStyle w:val="Style10"/>
              <w:framePr w:w="10411" w:wrap="notBeside" w:vAnchor="text" w:hAnchor="text" w:xAlign="center" w:y="1"/>
              <w:widowControl w:val="0"/>
              <w:keepNext w:val="0"/>
              <w:keepLines w:val="0"/>
              <w:shd w:val="clear" w:color="auto" w:fill="auto"/>
              <w:bidi w:val="0"/>
              <w:spacing w:before="0" w:after="0" w:line="230" w:lineRule="exact"/>
              <w:ind w:left="0" w:right="120" w:firstLine="0"/>
            </w:pPr>
            <w:r>
              <w:rPr>
                <w:rStyle w:val="CharStyle27"/>
              </w:rPr>
              <w:t>закупки на</w:t>
            </w:r>
          </w:p>
          <w:p>
            <w:pPr>
              <w:pStyle w:val="Style10"/>
              <w:framePr w:w="1041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7"/>
              </w:rPr>
              <w:t>рынке</w:t>
            </w:r>
          </w:p>
          <w:p>
            <w:pPr>
              <w:pStyle w:val="Style10"/>
              <w:framePr w:w="1041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7"/>
              </w:rPr>
              <w:t>аудиторски</w:t>
            </w:r>
          </w:p>
          <w:p>
            <w:pPr>
              <w:pStyle w:val="Style10"/>
              <w:framePr w:w="1041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7"/>
              </w:rPr>
              <w:t>х услуг</w:t>
            </w:r>
          </w:p>
        </w:tc>
        <w:tc>
          <w:tcPr>
            <w:shd w:val="clear" w:color="auto" w:fill="FFFFFF"/>
            <w:tcBorders>
              <w:left w:val="single" w:sz="4"/>
              <w:top w:val="single" w:sz="4"/>
            </w:tcBorders>
            <w:vAlign w:val="center"/>
          </w:tcPr>
          <w:p>
            <w:pPr>
              <w:pStyle w:val="Style10"/>
              <w:framePr w:w="10411"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7"/>
              </w:rPr>
              <w:t>Количество</w:t>
            </w:r>
          </w:p>
          <w:p>
            <w:pPr>
              <w:pStyle w:val="Style10"/>
              <w:framePr w:w="10411"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7"/>
              </w:rPr>
              <w:t>исполненных</w:t>
            </w:r>
          </w:p>
          <w:p>
            <w:pPr>
              <w:pStyle w:val="Style10"/>
              <w:framePr w:w="10411"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7"/>
              </w:rPr>
              <w:t>контрактов</w:t>
            </w:r>
          </w:p>
          <w:p>
            <w:pPr>
              <w:pStyle w:val="Style10"/>
              <w:framePr w:w="10411"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7"/>
              </w:rPr>
              <w:t>(договоров) на</w:t>
            </w:r>
          </w:p>
          <w:p>
            <w:pPr>
              <w:pStyle w:val="Style10"/>
              <w:framePr w:w="10411"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7"/>
              </w:rPr>
              <w:t>оказание</w:t>
            </w:r>
          </w:p>
          <w:p>
            <w:pPr>
              <w:pStyle w:val="Style10"/>
              <w:framePr w:w="10411"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7"/>
              </w:rPr>
              <w:t>аудиторских</w:t>
            </w:r>
          </w:p>
          <w:p>
            <w:pPr>
              <w:pStyle w:val="Style10"/>
              <w:framePr w:w="10411"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7"/>
              </w:rPr>
              <w:t>услуг (аудит</w:t>
            </w:r>
          </w:p>
          <w:p>
            <w:pPr>
              <w:pStyle w:val="Style10"/>
              <w:framePr w:w="10411"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7"/>
              </w:rPr>
              <w:t>бухгалтерской</w:t>
            </w:r>
          </w:p>
          <w:p>
            <w:pPr>
              <w:pStyle w:val="Style10"/>
              <w:framePr w:w="10411"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7"/>
              </w:rPr>
              <w:t>(финансовой)</w:t>
            </w:r>
          </w:p>
          <w:p>
            <w:pPr>
              <w:pStyle w:val="Style10"/>
              <w:framePr w:w="10411"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7"/>
              </w:rPr>
              <w:t>отчетности</w:t>
            </w:r>
          </w:p>
          <w:p>
            <w:pPr>
              <w:pStyle w:val="Style10"/>
              <w:framePr w:w="10411"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7"/>
              </w:rPr>
              <w:t>организации)</w:t>
            </w:r>
          </w:p>
          <w:p>
            <w:pPr>
              <w:pStyle w:val="Style10"/>
              <w:framePr w:w="10411"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7"/>
              </w:rPr>
              <w:t>за 2020 г.</w:t>
            </w:r>
          </w:p>
        </w:tc>
        <w:tc>
          <w:tcPr>
            <w:shd w:val="clear" w:color="auto" w:fill="FFFFFF"/>
            <w:tcBorders>
              <w:left w:val="single" w:sz="4"/>
              <w:top w:val="single" w:sz="4"/>
            </w:tcBorders>
            <w:vAlign w:val="center"/>
          </w:tcPr>
          <w:p>
            <w:pPr>
              <w:pStyle w:val="Style10"/>
              <w:framePr w:w="1041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27"/>
              </w:rPr>
              <w:t>0,5</w:t>
            </w:r>
          </w:p>
        </w:tc>
        <w:tc>
          <w:tcPr>
            <w:shd w:val="clear" w:color="auto" w:fill="FFFFFF"/>
            <w:vMerge w:val="restart"/>
            <w:tcBorders>
              <w:left w:val="single" w:sz="4"/>
              <w:top w:val="single" w:sz="4"/>
            </w:tcBorders>
            <w:vAlign w:val="bottom"/>
          </w:tcPr>
          <w:p>
            <w:pPr>
              <w:pStyle w:val="Style10"/>
              <w:framePr w:w="10411" w:wrap="notBeside" w:vAnchor="text" w:hAnchor="text" w:xAlign="center" w:y="1"/>
              <w:widowControl w:val="0"/>
              <w:keepNext w:val="0"/>
              <w:keepLines w:val="0"/>
              <w:shd w:val="clear" w:color="auto" w:fill="auto"/>
              <w:bidi w:val="0"/>
              <w:jc w:val="both"/>
              <w:spacing w:before="0" w:after="360" w:line="230" w:lineRule="exact"/>
              <w:ind w:left="0" w:right="0" w:firstLine="0"/>
            </w:pPr>
            <w:r>
              <w:rPr>
                <w:rStyle w:val="CharStyle28"/>
              </w:rPr>
              <w:t>НЦВ,=КЗх100х(К</w:t>
            </w:r>
            <w:r>
              <w:rPr>
                <w:rStyle w:val="CharStyle28"/>
                <w:vertAlign w:val="subscript"/>
              </w:rPr>
              <w:t>|</w:t>
            </w:r>
            <w:r>
              <w:rPr>
                <w:rStyle w:val="CharStyle28"/>
              </w:rPr>
              <w:t>/К</w:t>
            </w:r>
            <w:r>
              <w:rPr>
                <w:rStyle w:val="CharStyle28"/>
                <w:vertAlign w:val="subscript"/>
              </w:rPr>
              <w:t>ив</w:t>
            </w:r>
            <w:r>
              <w:rPr>
                <w:rStyle w:val="CharStyle28"/>
              </w:rPr>
              <w:t>;</w:t>
            </w:r>
          </w:p>
          <w:p>
            <w:pPr>
              <w:pStyle w:val="Style10"/>
              <w:framePr w:w="10411" w:wrap="notBeside" w:vAnchor="text" w:hAnchor="text" w:xAlign="center" w:y="1"/>
              <w:widowControl w:val="0"/>
              <w:keepNext w:val="0"/>
              <w:keepLines w:val="0"/>
              <w:shd w:val="clear" w:color="auto" w:fill="auto"/>
              <w:bidi w:val="0"/>
              <w:jc w:val="center"/>
              <w:spacing w:before="360" w:after="0" w:line="227" w:lineRule="exact"/>
              <w:ind w:left="0" w:right="0" w:firstLine="0"/>
            </w:pPr>
            <w:r>
              <w:rPr>
                <w:rStyle w:val="CharStyle27"/>
              </w:rPr>
              <w:t>где:</w:t>
            </w:r>
          </w:p>
          <w:p>
            <w:pPr>
              <w:pStyle w:val="Style10"/>
              <w:framePr w:w="10411" w:wrap="notBeside" w:vAnchor="text" w:hAnchor="text" w:xAlign="center" w:y="1"/>
              <w:widowControl w:val="0"/>
              <w:keepNext w:val="0"/>
              <w:keepLines w:val="0"/>
              <w:shd w:val="clear" w:color="auto" w:fill="auto"/>
              <w:bidi w:val="0"/>
              <w:jc w:val="both"/>
              <w:spacing w:before="0" w:after="0" w:line="227" w:lineRule="exact"/>
              <w:ind w:left="0" w:right="0" w:firstLine="700"/>
            </w:pPr>
            <w:r>
              <w:rPr>
                <w:rStyle w:val="CharStyle27"/>
              </w:rPr>
              <w:t>КЗ - коэффициент значимости показателя;</w:t>
            </w:r>
          </w:p>
          <w:p>
            <w:pPr>
              <w:pStyle w:val="Style10"/>
              <w:framePr w:w="10411" w:wrap="notBeside" w:vAnchor="text" w:hAnchor="text" w:xAlign="center" w:y="1"/>
              <w:widowControl w:val="0"/>
              <w:keepNext w:val="0"/>
              <w:keepLines w:val="0"/>
              <w:shd w:val="clear" w:color="auto" w:fill="auto"/>
              <w:bidi w:val="0"/>
              <w:jc w:val="both"/>
              <w:spacing w:before="0" w:after="0" w:line="227" w:lineRule="exact"/>
              <w:ind w:left="0" w:right="0" w:firstLine="700"/>
            </w:pPr>
            <w:r>
              <w:rPr>
                <w:rStyle w:val="CharStyle27"/>
                <w:lang w:val="en-US" w:eastAsia="en-US" w:bidi="en-US"/>
              </w:rPr>
              <w:t xml:space="preserve">Ki </w:t>
            </w:r>
            <w:r>
              <w:rPr>
                <w:rStyle w:val="CharStyle27"/>
              </w:rPr>
              <w:t>- предложение участника закупки, заявка (предложение) которого оценивается;</w:t>
            </w:r>
          </w:p>
          <w:p>
            <w:pPr>
              <w:pStyle w:val="Style10"/>
              <w:framePr w:w="10411" w:wrap="notBeside" w:vAnchor="text" w:hAnchor="text" w:xAlign="center" w:y="1"/>
              <w:widowControl w:val="0"/>
              <w:keepNext w:val="0"/>
              <w:keepLines w:val="0"/>
              <w:shd w:val="clear" w:color="auto" w:fill="auto"/>
              <w:bidi w:val="0"/>
              <w:jc w:val="both"/>
              <w:spacing w:before="0" w:after="840" w:line="227" w:lineRule="exact"/>
              <w:ind w:left="0" w:right="0" w:firstLine="700"/>
            </w:pPr>
            <w:r>
              <w:rPr>
                <w:rStyle w:val="CharStyle27"/>
                <w:lang w:val="en-US" w:eastAsia="en-US" w:bidi="en-US"/>
              </w:rPr>
              <w:t xml:space="preserve">Kmax- </w:t>
            </w:r>
            <w:r>
              <w:rPr>
                <w:rStyle w:val="CharStyle27"/>
              </w:rPr>
              <w:t>максимальное предложение из предложений по показателю критерия оценки, сделанных участниками закупки</w:t>
            </w:r>
          </w:p>
          <w:p>
            <w:pPr>
              <w:pStyle w:val="Style10"/>
              <w:framePr w:w="10411" w:wrap="notBeside" w:vAnchor="text" w:hAnchor="text" w:xAlign="center" w:y="1"/>
              <w:widowControl w:val="0"/>
              <w:keepNext w:val="0"/>
              <w:keepLines w:val="0"/>
              <w:shd w:val="clear" w:color="auto" w:fill="auto"/>
              <w:bidi w:val="0"/>
              <w:jc w:val="both"/>
              <w:spacing w:before="840" w:after="0" w:line="170" w:lineRule="exact"/>
              <w:ind w:left="0" w:right="0" w:firstLine="0"/>
            </w:pPr>
            <w:r>
              <w:rPr>
                <w:rStyle w:val="CharStyle29"/>
                <w:lang w:val="en-US" w:eastAsia="en-US" w:bidi="en-US"/>
              </w:rPr>
              <w:t xml:space="preserve">i </w:t>
            </w:r>
            <w:r>
              <w:rPr>
                <w:rStyle w:val="CharStyle27"/>
              </w:rPr>
              <w:t>; , ! . ' * ' !\ '</w:t>
            </w:r>
          </w:p>
        </w:tc>
        <w:tc>
          <w:tcPr>
            <w:shd w:val="clear" w:color="auto" w:fill="FFFFFF"/>
            <w:tcBorders>
              <w:left w:val="single" w:sz="4"/>
              <w:right w:val="single" w:sz="4"/>
              <w:top w:val="single" w:sz="4"/>
            </w:tcBorders>
            <w:vAlign w:val="bottom"/>
          </w:tcPr>
          <w:p>
            <w:pPr>
              <w:pStyle w:val="Style10"/>
              <w:framePr w:w="10411" w:wrap="notBeside" w:vAnchor="text" w:hAnchor="text" w:xAlign="center" w:y="1"/>
              <w:widowControl w:val="0"/>
              <w:keepNext w:val="0"/>
              <w:keepLines w:val="0"/>
              <w:shd w:val="clear" w:color="auto" w:fill="auto"/>
              <w:bidi w:val="0"/>
              <w:jc w:val="both"/>
              <w:spacing w:before="0" w:after="0" w:line="227" w:lineRule="exact"/>
              <w:ind w:left="0" w:right="0" w:firstLine="0"/>
            </w:pPr>
            <w:r>
              <w:rPr>
                <w:rStyle w:val="CharStyle27"/>
              </w:rPr>
              <w:t>Копии контрактов (договоров) за 2020 год и актов сдачи-приемки оказанных услуг по таким контрактам (договорам) исполненных в полном объеме. Каждый контракт (договор) должен быть на сумму не менее 70 % от начальной (максимальной) цены контракта настоящего открытого конкурса на оказание услуг по проведению обязательного аудита годовой бухгалтерской (финансовой) отчетности</w:t>
            </w:r>
          </w:p>
        </w:tc>
      </w:tr>
      <w:tr>
        <w:trPr>
          <w:trHeight w:val="1980" w:hRule="exact"/>
        </w:trPr>
        <w:tc>
          <w:tcPr>
            <w:shd w:val="clear" w:color="auto" w:fill="FFFFFF"/>
            <w:tcBorders>
              <w:left w:val="single" w:sz="4"/>
              <w:top w:val="single" w:sz="4"/>
            </w:tcBorders>
            <w:vAlign w:val="top"/>
          </w:tcPr>
          <w:p>
            <w:pPr>
              <w:framePr w:w="1041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411" w:wrap="notBeside" w:vAnchor="text" w:hAnchor="text" w:xAlign="center" w:y="1"/>
              <w:widowControl w:val="0"/>
              <w:keepNext w:val="0"/>
              <w:keepLines w:val="0"/>
              <w:shd w:val="clear" w:color="auto" w:fill="auto"/>
              <w:bidi w:val="0"/>
              <w:spacing w:before="0" w:after="0" w:line="227" w:lineRule="exact"/>
              <w:ind w:left="0" w:right="120" w:firstLine="0"/>
            </w:pPr>
            <w:r>
              <w:rPr>
                <w:rStyle w:val="CharStyle27"/>
              </w:rPr>
              <w:t>Обе</w:t>
            </w:r>
          </w:p>
          <w:p>
            <w:pPr>
              <w:pStyle w:val="Style10"/>
              <w:framePr w:w="10411" w:wrap="notBeside" w:vAnchor="text" w:hAnchor="text" w:xAlign="center" w:y="1"/>
              <w:widowControl w:val="0"/>
              <w:keepNext w:val="0"/>
              <w:keepLines w:val="0"/>
              <w:shd w:val="clear" w:color="auto" w:fill="auto"/>
              <w:bidi w:val="0"/>
              <w:spacing w:before="0" w:after="0" w:line="227" w:lineRule="exact"/>
              <w:ind w:left="0" w:right="120" w:firstLine="0"/>
            </w:pPr>
            <w:r>
              <w:rPr>
                <w:rStyle w:val="CharStyle27"/>
              </w:rPr>
              <w:t>спеченность</w:t>
            </w:r>
          </w:p>
          <w:p>
            <w:pPr>
              <w:pStyle w:val="Style10"/>
              <w:framePr w:w="10411"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7"/>
              </w:rPr>
              <w:t>участника</w:t>
            </w:r>
          </w:p>
          <w:p>
            <w:pPr>
              <w:pStyle w:val="Style10"/>
              <w:framePr w:w="10411"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7"/>
              </w:rPr>
              <w:t>закупки</w:t>
            </w:r>
          </w:p>
          <w:p>
            <w:pPr>
              <w:pStyle w:val="Style10"/>
              <w:framePr w:w="10411"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7"/>
              </w:rPr>
              <w:t>трудовыми</w:t>
            </w:r>
          </w:p>
          <w:p>
            <w:pPr>
              <w:pStyle w:val="Style10"/>
              <w:framePr w:w="10411"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7"/>
              </w:rPr>
              <w:t>ресурсами</w:t>
            </w:r>
          </w:p>
        </w:tc>
        <w:tc>
          <w:tcPr>
            <w:shd w:val="clear" w:color="auto" w:fill="FFFFFF"/>
            <w:tcBorders>
              <w:left w:val="single" w:sz="4"/>
              <w:top w:val="single" w:sz="4"/>
            </w:tcBorders>
            <w:vAlign w:val="center"/>
          </w:tcPr>
          <w:p>
            <w:pPr>
              <w:pStyle w:val="Style10"/>
              <w:framePr w:w="10411"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7"/>
              </w:rPr>
              <w:t>Количество</w:t>
            </w:r>
          </w:p>
          <w:p>
            <w:pPr>
              <w:pStyle w:val="Style10"/>
              <w:framePr w:w="10411"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7"/>
              </w:rPr>
              <w:t>аудиторов,</w:t>
            </w:r>
          </w:p>
          <w:p>
            <w:pPr>
              <w:pStyle w:val="Style10"/>
              <w:framePr w:w="10411"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7"/>
              </w:rPr>
              <w:t>имеющих</w:t>
            </w:r>
          </w:p>
          <w:p>
            <w:pPr>
              <w:pStyle w:val="Style10"/>
              <w:framePr w:w="10411"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7"/>
              </w:rPr>
              <w:t>квалификацию</w:t>
            </w:r>
          </w:p>
          <w:p>
            <w:pPr>
              <w:pStyle w:val="Style10"/>
              <w:framePr w:w="10411"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7"/>
              </w:rPr>
              <w:t>по аудиторской</w:t>
            </w:r>
          </w:p>
          <w:p>
            <w:pPr>
              <w:pStyle w:val="Style10"/>
              <w:framePr w:w="10411"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7"/>
              </w:rPr>
              <w:t>деятельности</w:t>
            </w:r>
          </w:p>
        </w:tc>
        <w:tc>
          <w:tcPr>
            <w:shd w:val="clear" w:color="auto" w:fill="FFFFFF"/>
            <w:tcBorders>
              <w:left w:val="single" w:sz="4"/>
              <w:top w:val="single" w:sz="4"/>
            </w:tcBorders>
            <w:vAlign w:val="center"/>
          </w:tcPr>
          <w:p>
            <w:pPr>
              <w:pStyle w:val="Style10"/>
              <w:framePr w:w="10411" w:wrap="notBeside" w:vAnchor="text" w:hAnchor="text" w:xAlign="center" w:y="1"/>
              <w:widowControl w:val="0"/>
              <w:keepNext w:val="0"/>
              <w:keepLines w:val="0"/>
              <w:shd w:val="clear" w:color="auto" w:fill="auto"/>
              <w:bidi w:val="0"/>
              <w:jc w:val="left"/>
              <w:spacing w:before="0" w:after="0" w:line="170" w:lineRule="exact"/>
              <w:ind w:left="840" w:right="0" w:firstLine="0"/>
            </w:pPr>
            <w:r>
              <w:rPr>
                <w:rStyle w:val="CharStyle27"/>
              </w:rPr>
              <w:t>0,5</w:t>
            </w:r>
          </w:p>
        </w:tc>
        <w:tc>
          <w:tcPr>
            <w:shd w:val="clear" w:color="auto" w:fill="FFFFFF"/>
            <w:vMerge/>
            <w:tcBorders>
              <w:left w:val="single" w:sz="4"/>
            </w:tcBorders>
            <w:vAlign w:val="bottom"/>
          </w:tcPr>
          <w:p>
            <w:pPr>
              <w:framePr w:w="10411" w:wrap="notBeside" w:vAnchor="text" w:hAnchor="text" w:xAlign="center" w:y="1"/>
            </w:pPr>
          </w:p>
        </w:tc>
        <w:tc>
          <w:tcPr>
            <w:shd w:val="clear" w:color="auto" w:fill="FFFFFF"/>
            <w:tcBorders>
              <w:left w:val="single" w:sz="4"/>
              <w:right w:val="single" w:sz="4"/>
              <w:top w:val="single" w:sz="4"/>
            </w:tcBorders>
            <w:vAlign w:val="center"/>
          </w:tcPr>
          <w:p>
            <w:pPr>
              <w:pStyle w:val="Style10"/>
              <w:framePr w:w="10411"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7"/>
              </w:rPr>
              <w:t>Заверенные участником конкурса копии действительных квалификационных аттестатов аудиторов, копии трудовых книжек и/или трудовых договоров</w:t>
            </w:r>
          </w:p>
        </w:tc>
      </w:tr>
      <w:tr>
        <w:trPr>
          <w:trHeight w:val="385" w:hRule="exact"/>
        </w:trPr>
        <w:tc>
          <w:tcPr>
            <w:shd w:val="clear" w:color="auto" w:fill="FFFFFF"/>
            <w:tcBorders>
              <w:left w:val="single" w:sz="4"/>
              <w:top w:val="single" w:sz="4"/>
              <w:bottom w:val="single" w:sz="4"/>
            </w:tcBorders>
            <w:vAlign w:val="top"/>
          </w:tcPr>
          <w:p>
            <w:pPr>
              <w:framePr w:w="10411" w:wrap="notBeside" w:vAnchor="text" w:hAnchor="text" w:xAlign="center" w:y="1"/>
              <w:widowControl w:val="0"/>
              <w:rPr>
                <w:sz w:val="10"/>
                <w:szCs w:val="10"/>
              </w:rPr>
            </w:pPr>
          </w:p>
        </w:tc>
        <w:tc>
          <w:tcPr>
            <w:shd w:val="clear" w:color="auto" w:fill="FFFFFF"/>
            <w:gridSpan w:val="2"/>
            <w:tcBorders>
              <w:left w:val="single" w:sz="4"/>
              <w:top w:val="single" w:sz="4"/>
              <w:bottom w:val="single" w:sz="4"/>
            </w:tcBorders>
            <w:vAlign w:val="center"/>
          </w:tcPr>
          <w:p>
            <w:pPr>
              <w:pStyle w:val="Style10"/>
              <w:framePr w:w="10411" w:wrap="notBeside" w:vAnchor="text" w:hAnchor="text" w:xAlign="center" w:y="1"/>
              <w:widowControl w:val="0"/>
              <w:keepNext w:val="0"/>
              <w:keepLines w:val="0"/>
              <w:shd w:val="clear" w:color="auto" w:fill="auto"/>
              <w:bidi w:val="0"/>
              <w:jc w:val="left"/>
              <w:spacing w:before="0" w:after="0" w:line="260" w:lineRule="exact"/>
              <w:ind w:left="840" w:right="0" w:firstLine="0"/>
            </w:pPr>
            <w:r>
              <w:rPr>
                <w:rStyle w:val="CharStyle30"/>
              </w:rPr>
              <w:t>итога</w:t>
            </w:r>
          </w:p>
        </w:tc>
        <w:tc>
          <w:tcPr>
            <w:shd w:val="clear" w:color="auto" w:fill="FFFFFF"/>
            <w:tcBorders>
              <w:left w:val="single" w:sz="4"/>
              <w:top w:val="single" w:sz="4"/>
              <w:bottom w:val="single" w:sz="4"/>
            </w:tcBorders>
            <w:vAlign w:val="center"/>
          </w:tcPr>
          <w:p>
            <w:pPr>
              <w:pStyle w:val="Style10"/>
              <w:framePr w:w="10411" w:wrap="notBeside" w:vAnchor="text" w:hAnchor="text" w:xAlign="center" w:y="1"/>
              <w:widowControl w:val="0"/>
              <w:keepNext w:val="0"/>
              <w:keepLines w:val="0"/>
              <w:shd w:val="clear" w:color="auto" w:fill="auto"/>
              <w:bidi w:val="0"/>
              <w:jc w:val="left"/>
              <w:spacing w:before="0" w:after="0" w:line="230" w:lineRule="exact"/>
              <w:ind w:left="840" w:right="0" w:firstLine="0"/>
            </w:pPr>
            <w:r>
              <w:rPr>
                <w:rStyle w:val="CharStyle28"/>
              </w:rPr>
              <w:t>1</w:t>
            </w:r>
          </w:p>
        </w:tc>
        <w:tc>
          <w:tcPr>
            <w:shd w:val="clear" w:color="auto" w:fill="FFFFFF"/>
            <w:tcBorders>
              <w:left w:val="single" w:sz="4"/>
              <w:top w:val="single" w:sz="4"/>
              <w:bottom w:val="single" w:sz="4"/>
            </w:tcBorders>
            <w:vAlign w:val="top"/>
          </w:tcPr>
          <w:p>
            <w:pPr>
              <w:framePr w:w="10411"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pStyle w:val="Style10"/>
              <w:framePr w:w="10411" w:wrap="notBeside" w:vAnchor="text" w:hAnchor="text" w:xAlign="center" w:y="1"/>
              <w:widowControl w:val="0"/>
              <w:keepNext w:val="0"/>
              <w:keepLines w:val="0"/>
              <w:shd w:val="clear" w:color="auto" w:fill="auto"/>
              <w:bidi w:val="0"/>
              <w:spacing w:before="0" w:after="0" w:line="80" w:lineRule="exact"/>
              <w:ind w:left="0" w:right="140" w:firstLine="0"/>
            </w:pPr>
            <w:r>
              <w:rPr>
                <w:rStyle w:val="CharStyle31"/>
              </w:rPr>
              <w:t xml:space="preserve">- </w:t>
            </w:r>
            <w:r>
              <w:rPr>
                <w:rStyle w:val="CharStyle29"/>
              </w:rPr>
              <w:t xml:space="preserve">-4° </w:t>
            </w:r>
            <w:r>
              <w:rPr>
                <w:rStyle w:val="CharStyle29"/>
                <w:lang w:val="en-US" w:eastAsia="en-US" w:bidi="en-US"/>
              </w:rPr>
              <w:t xml:space="preserve">u </w:t>
            </w:r>
            <w:r>
              <w:rPr>
                <w:rStyle w:val="CharStyle29"/>
              </w:rPr>
              <w:t xml:space="preserve">* • </w:t>
            </w:r>
            <w:r>
              <w:rPr>
                <w:rStyle w:val="CharStyle29"/>
                <w:lang w:val="en-US" w:eastAsia="en-US" w:bidi="en-US"/>
              </w:rPr>
              <w:t xml:space="preserve">w </w:t>
            </w:r>
            <w:r>
              <w:rPr>
                <w:rStyle w:val="CharStyle31"/>
                <w:lang w:val="en-US" w:eastAsia="en-US" w:bidi="en-US"/>
              </w:rPr>
              <w:t>*</w:t>
            </w:r>
          </w:p>
        </w:tc>
      </w:tr>
    </w:tbl>
    <w:p>
      <w:pPr>
        <w:widowControl w:val="0"/>
        <w:rPr>
          <w:sz w:val="2"/>
          <w:szCs w:val="2"/>
        </w:rPr>
      </w:pPr>
    </w:p>
    <w:p>
      <w:pPr>
        <w:pStyle w:val="Style10"/>
        <w:widowControl w:val="0"/>
        <w:keepNext w:val="0"/>
        <w:keepLines w:val="0"/>
        <w:shd w:val="clear" w:color="auto" w:fill="auto"/>
        <w:bidi w:val="0"/>
        <w:jc w:val="both"/>
        <w:spacing w:before="239" w:after="0"/>
        <w:ind w:left="340" w:right="0" w:firstLine="700"/>
      </w:pPr>
      <w:r>
        <w:rPr>
          <w:lang w:val="ru-RU" w:eastAsia="ru-RU" w:bidi="ru-RU"/>
          <w:w w:val="100"/>
          <w:spacing w:val="0"/>
          <w:color w:val="000000"/>
          <w:position w:val="0"/>
        </w:rPr>
        <w:t>Опыт работы участника закупки на рынке аудиторских услуг подтверждается:</w:t>
      </w:r>
    </w:p>
    <w:p>
      <w:pPr>
        <w:pStyle w:val="Style10"/>
        <w:widowControl w:val="0"/>
        <w:keepNext w:val="0"/>
        <w:keepLines w:val="0"/>
        <w:shd w:val="clear" w:color="auto" w:fill="auto"/>
        <w:bidi w:val="0"/>
        <w:jc w:val="both"/>
        <w:spacing w:before="0" w:after="0"/>
        <w:ind w:left="340" w:right="20" w:firstLine="700"/>
      </w:pPr>
      <w:r>
        <w:rPr>
          <w:lang w:val="ru-RU" w:eastAsia="ru-RU" w:bidi="ru-RU"/>
          <w:w w:val="100"/>
          <w:spacing w:val="0"/>
          <w:color w:val="000000"/>
          <w:position w:val="0"/>
        </w:rPr>
        <w:t>- Копиями завершенных контрактов (договоров) за 2020 год и актов сдачи-приемки оказанных услуг по таким контрактам (договорам) исполненных в полном объеме. Каждый контракт (договор) должен быть на сумму не менее 70 % от начальной (максимальной) цены контракта настоящего открытого конкурса оказание услуг по проведению обязательного аудита годовой бухгалтерской (финансовой) отчетности.</w:t>
      </w:r>
    </w:p>
    <w:p>
      <w:pPr>
        <w:pStyle w:val="Style10"/>
        <w:widowControl w:val="0"/>
        <w:keepNext w:val="0"/>
        <w:keepLines w:val="0"/>
        <w:shd w:val="clear" w:color="auto" w:fill="auto"/>
        <w:bidi w:val="0"/>
        <w:jc w:val="both"/>
        <w:spacing w:before="0" w:after="0"/>
        <w:ind w:left="340" w:right="20" w:firstLine="700"/>
      </w:pPr>
      <w:r>
        <w:rPr>
          <w:lang w:val="ru-RU" w:eastAsia="ru-RU" w:bidi="ru-RU"/>
          <w:w w:val="100"/>
          <w:spacing w:val="0"/>
          <w:color w:val="000000"/>
          <w:position w:val="0"/>
        </w:rPr>
        <w:t xml:space="preserve">Комиссия Управления обращает внимание, что из табличной части пункта 3.3.2. конкурсной документации, Заказчик просил Участников предоставить </w:t>
      </w:r>
      <w:r>
        <w:rPr>
          <w:rStyle w:val="CharStyle17"/>
        </w:rPr>
        <w:t xml:space="preserve">Копии контрактов (договоров) за 2020 год </w:t>
      </w:r>
      <w:r>
        <w:rPr>
          <w:lang w:val="ru-RU" w:eastAsia="ru-RU" w:bidi="ru-RU"/>
          <w:w w:val="100"/>
          <w:spacing w:val="0"/>
          <w:color w:val="000000"/>
          <w:position w:val="0"/>
        </w:rPr>
        <w:t xml:space="preserve">и акты сдачи-приемки оказанных услуг по таким контрактам (договорам) исполненных в полном объеме, </w:t>
      </w:r>
      <w:r>
        <w:rPr>
          <w:rStyle w:val="CharStyle17"/>
        </w:rPr>
        <w:t>таким образом контракты (договоры) должны быть заключены и исполнены в полном объеме за 2020 год.</w:t>
      </w:r>
    </w:p>
    <w:p>
      <w:pPr>
        <w:pStyle w:val="Style10"/>
        <w:widowControl w:val="0"/>
        <w:keepNext w:val="0"/>
        <w:keepLines w:val="0"/>
        <w:shd w:val="clear" w:color="auto" w:fill="auto"/>
        <w:bidi w:val="0"/>
        <w:jc w:val="both"/>
        <w:spacing w:before="0" w:after="0"/>
        <w:ind w:left="340" w:right="20" w:firstLine="700"/>
      </w:pPr>
      <w:r>
        <w:rPr>
          <w:lang w:val="ru-RU" w:eastAsia="ru-RU" w:bidi="ru-RU"/>
          <w:w w:val="100"/>
          <w:spacing w:val="0"/>
          <w:color w:val="000000"/>
          <w:position w:val="0"/>
        </w:rPr>
        <w:t xml:space="preserve">Следовательно, довод участника, что под пониманием </w:t>
      </w:r>
      <w:r>
        <w:rPr>
          <w:rStyle w:val="CharStyle17"/>
        </w:rPr>
        <w:t xml:space="preserve">(копии завершенных контрактов (договоров) за 2020 год) </w:t>
      </w:r>
      <w:r>
        <w:rPr>
          <w:lang w:val="ru-RU" w:eastAsia="ru-RU" w:bidi="ru-RU"/>
          <w:w w:val="100"/>
          <w:spacing w:val="0"/>
          <w:color w:val="000000"/>
          <w:position w:val="0"/>
        </w:rPr>
        <w:t>пониматься контракты (договоры) услуги по которым непосредственно оказывались в 2020 году и были завершены в 2020 году является несостоятельным.</w:t>
      </w:r>
    </w:p>
    <w:p>
      <w:pPr>
        <w:pStyle w:val="Style10"/>
        <w:widowControl w:val="0"/>
        <w:keepNext w:val="0"/>
        <w:keepLines w:val="0"/>
        <w:shd w:val="clear" w:color="auto" w:fill="auto"/>
        <w:bidi w:val="0"/>
        <w:jc w:val="both"/>
        <w:spacing w:before="0" w:after="0"/>
        <w:ind w:left="340" w:right="20" w:firstLine="700"/>
      </w:pPr>
      <w:r>
        <w:rPr>
          <w:lang w:val="ru-RU" w:eastAsia="ru-RU" w:bidi="ru-RU"/>
          <w:w w:val="100"/>
          <w:spacing w:val="0"/>
          <w:color w:val="000000"/>
          <w:position w:val="0"/>
        </w:rPr>
        <w:t xml:space="preserve">В закупочной документации </w:t>
      </w:r>
      <w:r>
        <w:rPr>
          <w:rStyle w:val="CharStyle17"/>
        </w:rPr>
        <w:t xml:space="preserve">нет указаний, </w:t>
      </w:r>
      <w:r>
        <w:rPr>
          <w:lang w:val="ru-RU" w:eastAsia="ru-RU" w:bidi="ru-RU"/>
          <w:w w:val="100"/>
          <w:spacing w:val="0"/>
          <w:color w:val="000000"/>
          <w:position w:val="0"/>
        </w:rPr>
        <w:t xml:space="preserve">что предоставленные копии контрактов (договоров) должны быть завершены </w:t>
      </w:r>
      <w:r>
        <w:rPr>
          <w:rStyle w:val="CharStyle17"/>
        </w:rPr>
        <w:t xml:space="preserve">в </w:t>
      </w:r>
      <w:r>
        <w:rPr>
          <w:lang w:val="ru-RU" w:eastAsia="ru-RU" w:bidi="ru-RU"/>
          <w:w w:val="100"/>
          <w:spacing w:val="0"/>
          <w:color w:val="000000"/>
          <w:position w:val="0"/>
        </w:rPr>
        <w:t xml:space="preserve">2020году, по тексту закупочной документации </w:t>
      </w:r>
      <w:r>
        <w:rPr>
          <w:rStyle w:val="CharStyle17"/>
        </w:rPr>
        <w:t xml:space="preserve">указано </w:t>
      </w:r>
      <w:r>
        <w:rPr>
          <w:lang w:val="ru-RU" w:eastAsia="ru-RU" w:bidi="ru-RU"/>
          <w:w w:val="100"/>
          <w:spacing w:val="0"/>
          <w:color w:val="000000"/>
          <w:position w:val="0"/>
        </w:rPr>
        <w:t>(копии завершенных контрактов (договоров) за 2020г.), а не копии контрактов договоров завершенных в 2020 году.</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Таким образом, исходя из вышесказанного, Комиссия Управления приходит к выводу, что Заказчик </w:t>
      </w:r>
      <w:r>
        <w:rPr>
          <w:rStyle w:val="CharStyle17"/>
        </w:rPr>
        <w:t xml:space="preserve">обосновано </w:t>
      </w:r>
      <w:r>
        <w:rPr>
          <w:lang w:val="ru-RU" w:eastAsia="ru-RU" w:bidi="ru-RU"/>
          <w:w w:val="100"/>
          <w:spacing w:val="0"/>
          <w:color w:val="000000"/>
          <w:position w:val="0"/>
        </w:rPr>
        <w:t>не принял в расчет предоставленные участником копии договоров (контрактов) заключённые ранее 2020 года.</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Также мнение участника о невозможности исполнить контракт по аудиту в отношении бухгалтерской отчетности за 2020 год в 2020-м году не состоятелен, ввиду того, что Заказчик не устанавливал требование в закупочной документации, что представленные контракты (договора) обязательно должны быть в отношении бухгалтерской отчетности именно за 2020 год.</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Комиссия Управления, изучив заявки участников, участвующих в настоящей закупочной процедуре, участником которой, в том числе являлось и ООО «Группа финансы» предоставлены договоры (контракты) заключённые и исполненные за 2020 год:</w:t>
      </w:r>
    </w:p>
    <w:p>
      <w:pPr>
        <w:pStyle w:val="Style10"/>
        <w:widowControl w:val="0"/>
        <w:keepNext w:val="0"/>
        <w:keepLines w:val="0"/>
        <w:shd w:val="clear" w:color="auto" w:fill="auto"/>
        <w:bidi w:val="0"/>
        <w:jc w:val="left"/>
        <w:spacing w:before="0" w:after="0"/>
        <w:ind w:left="1440" w:right="0" w:firstLine="0"/>
      </w:pPr>
      <w:r>
        <w:rPr>
          <w:lang w:val="ru-RU" w:eastAsia="ru-RU" w:bidi="ru-RU"/>
          <w:w w:val="100"/>
          <w:spacing w:val="0"/>
          <w:color w:val="000000"/>
          <w:position w:val="0"/>
        </w:rPr>
        <w:t>ООО «Группа финансы» 2 контракта (договора);</w:t>
      </w:r>
    </w:p>
    <w:p>
      <w:pPr>
        <w:pStyle w:val="Style10"/>
        <w:widowControl w:val="0"/>
        <w:keepNext w:val="0"/>
        <w:keepLines w:val="0"/>
        <w:shd w:val="clear" w:color="auto" w:fill="auto"/>
        <w:bidi w:val="0"/>
        <w:jc w:val="left"/>
        <w:spacing w:before="0" w:after="0"/>
        <w:ind w:left="1440" w:right="0" w:firstLine="0"/>
      </w:pPr>
      <w:r>
        <w:rPr>
          <w:lang w:val="ru-RU" w:eastAsia="ru-RU" w:bidi="ru-RU"/>
          <w:w w:val="100"/>
          <w:spacing w:val="0"/>
          <w:color w:val="000000"/>
          <w:position w:val="0"/>
        </w:rPr>
        <w:t>ООО «Интерком аудит» 5 контрактов (договоров);</w:t>
      </w:r>
    </w:p>
    <w:p>
      <w:pPr>
        <w:pStyle w:val="Style10"/>
        <w:widowControl w:val="0"/>
        <w:keepNext w:val="0"/>
        <w:keepLines w:val="0"/>
        <w:shd w:val="clear" w:color="auto" w:fill="auto"/>
        <w:bidi w:val="0"/>
        <w:jc w:val="left"/>
        <w:spacing w:before="0" w:after="0"/>
        <w:ind w:left="1440" w:right="0" w:firstLine="0"/>
      </w:pPr>
      <w:r>
        <w:rPr>
          <w:lang w:val="ru-RU" w:eastAsia="ru-RU" w:bidi="ru-RU"/>
          <w:w w:val="100"/>
          <w:spacing w:val="0"/>
          <w:color w:val="000000"/>
          <w:position w:val="0"/>
        </w:rPr>
        <w:t>ООО «Аудит-Стандарт» 1 контракт (договор).</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Таким образом, видно, что Заказчик не нарушил требования закона и права Участников, установив в конкурсной документации требование к контрактам (договорам) заключённым и ис</w:t>
        <w:softHyphen/>
        <w:t>полненным за 20^,0 год.</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Дополнительно Комиссия Управления сообщает, что в свою очередь предоставление в составе конкурсной заявки документов, в соответствии с критерием оценки заявок - это право участника конкурса, при этом не предоставление указанных документов не препятствует участию в конкурсе, в равной мере относится ко всем участникам конкурса, не предрешает исхода закупки, не создает преимуществ конкретному лицу.</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Законом о контрактной системе и Правилами не регламентировано установление в конкурсной документации тех или иных показателей, а также необходимой информации, раскрывающей содержание нестоимостных критериев.</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Соответственно, Комиссия Управления считает, что Заказчик с учетом своих нужд и потребностей вправе установить в конкурсной документации выбранный им показатель оценки исходя из необходимости достижения заданных результатов обеспечения государственных и муниципальных нужд, но с учетом соблюдения принципа обеспечения конкуренции и недопущения необоснованного ограничения количества участников закупки либо предоставления отдельным участникам необоснованных преимуществ.</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Кроме того, Комиссия Управления отмечает также, что заказчик вправе включить в документацию о проведении закупки такие критерии оценки заявок, которые отвечают именно его потребностям. При этом заказчик вправе в необходимой степени детализировать предмет закупки. Законом о контрактной системе не предусмотрены ограничения по включению в документацию о закупке требований к нестоимостным критериям оценки заявок, являющихся значимыми для заказчика, равно как и не предусмотрена обязанность заказчика в документации обосновывать свои потребности и причины при установлении требований к ним.</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силу статьи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а также ответственности за результативность обеспечения государственных и муниципальных нужд, эффективности осуществления закупок.</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Частью 1 статьи 12 Закона о контрактной системе предусмотрено, что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Следовательно,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В торгах могут участвовать лишь те лица, которые соответствуют названным целям. При этом для достижения указанной цели заказчик вправе в необходимой степени детализировать объект закупки (его характеристики) и в торгах могут участвовать лишь те лица, которые соответствуют названным целям. Таким образом, включение в документацию о торгах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торгах.</w:t>
      </w:r>
    </w:p>
    <w:p>
      <w:pPr>
        <w:pStyle w:val="Style10"/>
        <w:widowControl w:val="0"/>
        <w:keepNext w:val="0"/>
        <w:keepLines w:val="0"/>
        <w:shd w:val="clear" w:color="auto" w:fill="auto"/>
        <w:bidi w:val="0"/>
        <w:jc w:val="both"/>
        <w:spacing w:before="0" w:after="0"/>
        <w:ind w:left="20" w:right="40" w:firstLine="540"/>
      </w:pPr>
      <w:r>
        <w:rPr>
          <w:lang w:val="ru-RU" w:eastAsia="ru-RU" w:bidi="ru-RU"/>
          <w:w w:val="100"/>
          <w:spacing w:val="0"/>
          <w:color w:val="000000"/>
          <w:position w:val="0"/>
        </w:rPr>
        <w:t>Вместе с тем, 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пунктах 3 и 4 части 1 статьи 32 настоящего Федерального закона критериями оценки этих заявок, окончательных предложений, т.е. качественные, функциональные и экологические характеристики объекта закупки, а также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0"/>
        <w:widowControl w:val="0"/>
        <w:keepNext w:val="0"/>
        <w:keepLines w:val="0"/>
        <w:shd w:val="clear" w:color="auto" w:fill="auto"/>
        <w:bidi w:val="0"/>
        <w:jc w:val="both"/>
        <w:spacing w:before="0" w:after="0"/>
        <w:ind w:left="20" w:right="40" w:firstLine="540"/>
      </w:pPr>
      <w:r>
        <w:rPr>
          <w:lang w:val="ru-RU" w:eastAsia="ru-RU" w:bidi="ru-RU"/>
          <w:w w:val="100"/>
          <w:spacing w:val="0"/>
          <w:color w:val="000000"/>
          <w:position w:val="0"/>
        </w:rPr>
        <w:t>Согласно части 12 статьи 99 Закона о контрактной системе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пунктами 3 и 4 части 1 статьи 32 настоящего Федерального закона. Такие результаты могут быть обжалованы участниками закупок в судебном порядке.</w:t>
      </w:r>
    </w:p>
    <w:p>
      <w:pPr>
        <w:pStyle w:val="Style10"/>
        <w:widowControl w:val="0"/>
        <w:keepNext w:val="0"/>
        <w:keepLines w:val="0"/>
        <w:shd w:val="clear" w:color="auto" w:fill="auto"/>
        <w:bidi w:val="0"/>
        <w:jc w:val="both"/>
        <w:spacing w:before="0" w:after="0"/>
        <w:ind w:left="20" w:right="40" w:firstLine="540"/>
      </w:pPr>
      <w:r>
        <w:rPr>
          <w:lang w:val="ru-RU" w:eastAsia="ru-RU" w:bidi="ru-RU"/>
          <w:w w:val="100"/>
          <w:spacing w:val="0"/>
          <w:color w:val="000000"/>
          <w:position w:val="0"/>
        </w:rPr>
        <w:t>Таким образом, обжалование таких результатов должно осуществляться участниками закупок только в судебном порядке.</w:t>
      </w:r>
    </w:p>
    <w:p>
      <w:pPr>
        <w:pStyle w:val="Style10"/>
        <w:widowControl w:val="0"/>
        <w:keepNext w:val="0"/>
        <w:keepLines w:val="0"/>
        <w:shd w:val="clear" w:color="auto" w:fill="auto"/>
        <w:bidi w:val="0"/>
        <w:jc w:val="both"/>
        <w:spacing w:before="0" w:after="0"/>
        <w:ind w:left="20" w:right="40" w:firstLine="540"/>
      </w:pPr>
      <w:r>
        <w:rPr>
          <w:lang w:val="ru-RU" w:eastAsia="ru-RU" w:bidi="ru-RU"/>
          <w:w w:val="100"/>
          <w:spacing w:val="0"/>
          <w:color w:val="000000"/>
          <w:position w:val="0"/>
        </w:rPr>
        <w:t xml:space="preserve">Кроме того, согласно пункту 3 Правил оценки заявок, окончательных предложений участников закупки товаров, работ, услуг для обеспечения государственных и муниципальных нужд, утвержденных Постановлением Правительства РФ от 28.11.2013 г. </w:t>
      </w:r>
      <w:r>
        <w:rPr>
          <w:lang w:val="en-US" w:eastAsia="en-US" w:bidi="en-US"/>
          <w:w w:val="100"/>
          <w:spacing w:val="0"/>
          <w:color w:val="000000"/>
          <w:position w:val="0"/>
        </w:rPr>
        <w:t xml:space="preserve">N </w:t>
      </w:r>
      <w:r>
        <w:rPr>
          <w:lang w:val="ru-RU" w:eastAsia="ru-RU" w:bidi="ru-RU"/>
          <w:w w:val="100"/>
          <w:spacing w:val="0"/>
          <w:color w:val="000000"/>
          <w:position w:val="0"/>
        </w:rPr>
        <w:t>1085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pPr>
        <w:pStyle w:val="Style10"/>
        <w:widowControl w:val="0"/>
        <w:keepNext w:val="0"/>
        <w:keepLines w:val="0"/>
        <w:shd w:val="clear" w:color="auto" w:fill="auto"/>
        <w:bidi w:val="0"/>
        <w:jc w:val="both"/>
        <w:spacing w:before="0" w:after="0"/>
        <w:ind w:left="20" w:right="40" w:firstLine="540"/>
      </w:pPr>
      <w:r>
        <w:rPr>
          <w:lang w:val="ru-RU" w:eastAsia="ru-RU" w:bidi="ru-RU"/>
          <w:w w:val="100"/>
          <w:spacing w:val="0"/>
          <w:color w:val="000000"/>
          <w:position w:val="0"/>
        </w:rPr>
        <w:t>Таким образом, результат оценки заявок достигается путем проведения процесса оценки заявок участников, закупки, включающего применение порядка оценки заявок, установленного в документации открытого конкурса в электронной форме.</w:t>
      </w:r>
    </w:p>
    <w:p>
      <w:pPr>
        <w:pStyle w:val="Style10"/>
        <w:widowControl w:val="0"/>
        <w:keepNext w:val="0"/>
        <w:keepLines w:val="0"/>
        <w:shd w:val="clear" w:color="auto" w:fill="auto"/>
        <w:bidi w:val="0"/>
        <w:jc w:val="both"/>
        <w:spacing w:before="0" w:after="0"/>
        <w:ind w:left="20" w:right="40" w:firstLine="540"/>
      </w:pPr>
      <w:r>
        <w:rPr>
          <w:lang w:val="ru-RU" w:eastAsia="ru-RU" w:bidi="ru-RU"/>
          <w:w w:val="100"/>
          <w:spacing w:val="0"/>
          <w:color w:val="000000"/>
          <w:position w:val="0"/>
        </w:rPr>
        <w:t>На основании вышеизложенного Комиссия приходит к выводу, что оценка Комиссией действий конкурсной комиссии в части применения (неприменения) порядка оценки заявок, установленного в документации открытого конкурса в электронной форме, не может быть осуществлена безотносительно проверки результата оценки заявок участников закупки.</w:t>
      </w:r>
    </w:p>
    <w:p>
      <w:pPr>
        <w:pStyle w:val="Style10"/>
        <w:widowControl w:val="0"/>
        <w:keepNext w:val="0"/>
        <w:keepLines w:val="0"/>
        <w:shd w:val="clear" w:color="auto" w:fill="auto"/>
        <w:bidi w:val="0"/>
        <w:jc w:val="both"/>
        <w:spacing w:before="0" w:after="0"/>
        <w:ind w:left="20" w:right="40" w:firstLine="540"/>
      </w:pPr>
      <w:r>
        <w:rPr>
          <w:lang w:val="ru-RU" w:eastAsia="ru-RU" w:bidi="ru-RU"/>
          <w:w w:val="100"/>
          <w:spacing w:val="0"/>
          <w:color w:val="000000"/>
          <w:position w:val="0"/>
        </w:rPr>
        <w:t>Вместе с тем, согласно ч. 6. ст. 106 Закона о контрактной системе у Комиссии отсутствуют полномочия по рассмотрению жалобы на результат оценки заявок.</w:t>
      </w:r>
    </w:p>
    <w:p>
      <w:pPr>
        <w:pStyle w:val="Style10"/>
        <w:widowControl w:val="0"/>
        <w:keepNext w:val="0"/>
        <w:keepLines w:val="0"/>
        <w:shd w:val="clear" w:color="auto" w:fill="auto"/>
        <w:bidi w:val="0"/>
        <w:jc w:val="both"/>
        <w:spacing w:before="0" w:after="0"/>
        <w:ind w:left="20" w:right="40" w:firstLine="540"/>
      </w:pPr>
      <w:r>
        <w:rPr>
          <w:lang w:val="ru-RU" w:eastAsia="ru-RU" w:bidi="ru-RU"/>
          <w:w w:val="100"/>
          <w:spacing w:val="0"/>
          <w:color w:val="000000"/>
          <w:position w:val="0"/>
        </w:rPr>
        <w:t>Также у Комиссии Управления отсутствуют полномочия по проверке результата оценки заявок участников закупки в рамках проведения внеплановой проверки, так как согласно части 12 статьи 99 Закона о контрактной системе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пунктами 3 и 4 части 1 статьи 32 настоящего Федерального закона. Такие результаты могут ‘быть обжалованы участниками закупок в судебном порядке.</w:t>
      </w:r>
    </w:p>
    <w:p>
      <w:pPr>
        <w:pStyle w:val="Style10"/>
        <w:widowControl w:val="0"/>
        <w:keepNext w:val="0"/>
        <w:keepLines w:val="0"/>
        <w:shd w:val="clear" w:color="auto" w:fill="auto"/>
        <w:bidi w:val="0"/>
        <w:jc w:val="both"/>
        <w:spacing w:before="0" w:after="0"/>
        <w:ind w:left="20" w:right="40" w:firstLine="540"/>
      </w:pPr>
      <w:r>
        <w:rPr>
          <w:lang w:val="ru-RU" w:eastAsia="ru-RU" w:bidi="ru-RU"/>
          <w:w w:val="100"/>
          <w:spacing w:val="0"/>
          <w:color w:val="000000"/>
          <w:position w:val="0"/>
        </w:rPr>
        <w:t>Вопросы, связанные с присвоением количества баллов, процентных эквивалентов тех или иных показателей в рамках оценки заявок не могут быть предметом администрирования со стороны антимонопольного органа, компетенция которого в отношении результатов оценки заявок на участие в Конкурсе обозначена в части 6 статьи 106 Закона о контрактной системы. Результаты оценки заявки Зявителя могут быть оспорены только в судебном порядке.</w:t>
      </w:r>
    </w:p>
    <w:p>
      <w:pPr>
        <w:pStyle w:val="Style10"/>
        <w:widowControl w:val="0"/>
        <w:keepNext w:val="0"/>
        <w:keepLines w:val="0"/>
        <w:shd w:val="clear" w:color="auto" w:fill="auto"/>
        <w:bidi w:val="0"/>
        <w:jc w:val="both"/>
        <w:spacing w:before="0" w:after="0"/>
        <w:ind w:left="20" w:right="40" w:firstLine="540"/>
      </w:pPr>
      <w:r>
        <w:rPr>
          <w:lang w:val="ru-RU" w:eastAsia="ru-RU" w:bidi="ru-RU"/>
          <w:w w:val="100"/>
          <w:spacing w:val="0"/>
          <w:color w:val="000000"/>
          <w:position w:val="0"/>
        </w:rPr>
        <w:t xml:space="preserve">Данная позиция подтверждается в Определении Верховного Суда Российской Федерации от 16 сентября 2019 по делу </w:t>
      </w:r>
      <w:r>
        <w:rPr>
          <w:lang w:val="en-US" w:eastAsia="en-US" w:bidi="en-US"/>
          <w:w w:val="100"/>
          <w:spacing w:val="0"/>
          <w:color w:val="000000"/>
          <w:position w:val="0"/>
        </w:rPr>
        <w:t xml:space="preserve">N </w:t>
      </w:r>
      <w:r>
        <w:rPr>
          <w:lang w:val="ru-RU" w:eastAsia="ru-RU" w:bidi="ru-RU"/>
          <w:w w:val="100"/>
          <w:spacing w:val="0"/>
          <w:color w:val="000000"/>
          <w:position w:val="0"/>
        </w:rPr>
        <w:t xml:space="preserve">А40-162400/2018 и в Постановлении Арбитражного суда Северо- Западного округа от 02.06.2020 </w:t>
      </w:r>
      <w:r>
        <w:rPr>
          <w:lang w:val="en-US" w:eastAsia="en-US" w:bidi="en-US"/>
          <w:w w:val="100"/>
          <w:spacing w:val="0"/>
          <w:color w:val="000000"/>
          <w:position w:val="0"/>
        </w:rPr>
        <w:t xml:space="preserve">N </w:t>
      </w:r>
      <w:r>
        <w:rPr>
          <w:lang w:val="ru-RU" w:eastAsia="ru-RU" w:bidi="ru-RU"/>
          <w:w w:val="100"/>
          <w:spacing w:val="0"/>
          <w:color w:val="000000"/>
          <w:position w:val="0"/>
        </w:rPr>
        <w:t xml:space="preserve">Ф07-2161/2020 по делу </w:t>
      </w:r>
      <w:r>
        <w:rPr>
          <w:lang w:val="en-US" w:eastAsia="en-US" w:bidi="en-US"/>
          <w:w w:val="100"/>
          <w:spacing w:val="0"/>
          <w:color w:val="000000"/>
          <w:position w:val="0"/>
        </w:rPr>
        <w:t xml:space="preserve">N </w:t>
      </w:r>
      <w:r>
        <w:rPr>
          <w:lang w:val="ru-RU" w:eastAsia="ru-RU" w:bidi="ru-RU"/>
          <w:w w:val="100"/>
          <w:spacing w:val="0"/>
          <w:color w:val="000000"/>
          <w:position w:val="0"/>
        </w:rPr>
        <w:t>А56-33010/2019.</w:t>
      </w:r>
    </w:p>
    <w:p>
      <w:pPr>
        <w:pStyle w:val="Style10"/>
        <w:widowControl w:val="0"/>
        <w:keepNext w:val="0"/>
        <w:keepLines w:val="0"/>
        <w:shd w:val="clear" w:color="auto" w:fill="auto"/>
        <w:bidi w:val="0"/>
        <w:jc w:val="left"/>
        <w:spacing w:before="0" w:after="0"/>
        <w:ind w:left="20" w:right="40" w:firstLine="740"/>
      </w:pPr>
      <w:r>
        <w:rPr>
          <w:lang w:val="ru-RU" w:eastAsia="ru-RU" w:bidi="ru-RU"/>
          <w:w w:val="100"/>
          <w:spacing w:val="0"/>
          <w:color w:val="000000"/>
          <w:position w:val="0"/>
        </w:rPr>
        <w:t>На основании изложенного, Комиссия Управления приходит к выводу, что довод Заявителя является необоснованным. Иное Заявителем не доказано.</w:t>
      </w:r>
    </w:p>
    <w:p>
      <w:pPr>
        <w:pStyle w:val="Style10"/>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Жалоба ООО Труппа финансы" (ИНН 2312145943 ОГРН: 1082312000110) от 29.01.2021 №180-ж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0"/>
        <w:widowControl w:val="0"/>
        <w:keepNext w:val="0"/>
        <w:keepLines w:val="0"/>
        <w:shd w:val="clear" w:color="auto" w:fill="auto"/>
        <w:bidi w:val="0"/>
        <w:jc w:val="both"/>
        <w:spacing w:before="0" w:after="215"/>
        <w:ind w:left="0" w:right="20" w:firstLine="70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32"/>
        <w:widowControl w:val="0"/>
        <w:keepNext/>
        <w:keepLines/>
        <w:shd w:val="clear" w:color="auto" w:fill="auto"/>
        <w:bidi w:val="0"/>
        <w:jc w:val="left"/>
        <w:spacing w:before="0" w:after="208" w:line="230" w:lineRule="exact"/>
        <w:ind w:left="4860" w:right="0" w:firstLine="0"/>
      </w:pPr>
      <w:bookmarkStart w:id="2" w:name="bookmark2"/>
      <w:r>
        <w:rPr>
          <w:lang w:val="ru-RU" w:eastAsia="ru-RU" w:bidi="ru-RU"/>
          <w:w w:val="100"/>
          <w:spacing w:val="0"/>
          <w:color w:val="000000"/>
          <w:position w:val="0"/>
        </w:rPr>
        <w:t>РЕШИЛА:</w:t>
      </w:r>
      <w:bookmarkEnd w:id="2"/>
    </w:p>
    <w:p>
      <w:pPr>
        <w:pStyle w:val="Style10"/>
        <w:numPr>
          <w:ilvl w:val="0"/>
          <w:numId w:val="7"/>
        </w:numPr>
        <w:widowControl w:val="0"/>
        <w:keepNext w:val="0"/>
        <w:keepLines w:val="0"/>
        <w:shd w:val="clear" w:color="auto" w:fill="auto"/>
        <w:bidi w:val="0"/>
        <w:jc w:val="both"/>
        <w:spacing w:before="0" w:after="0"/>
        <w:ind w:left="0" w:right="0" w:firstLine="700"/>
      </w:pPr>
      <w:r>
        <w:rPr>
          <w:lang w:val="ru-RU" w:eastAsia="ru-RU" w:bidi="ru-RU"/>
          <w:w w:val="100"/>
          <w:spacing w:val="0"/>
          <w:color w:val="000000"/>
          <w:position w:val="0"/>
        </w:rPr>
        <w:t xml:space="preserve"> Признать жалобу ООО "Группа финансы" (ИНН 2312145943 ОГРН: 1082312000110) от</w:t>
      </w:r>
    </w:p>
    <w:p>
      <w:pPr>
        <w:pStyle w:val="Style10"/>
        <w:numPr>
          <w:ilvl w:val="0"/>
          <w:numId w:val="9"/>
        </w:numPr>
        <w:tabs>
          <w:tab w:leader="none" w:pos="1170" w:val="left"/>
        </w:tabs>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№180-ж на действия Заказчика — Сургутское городское муниципальное унитарное предприятие "Горводоканал", Уполномоченного органа - Администрации города (управление муниципальных закупок), при проведении открытого конкурса в электронной форме предметом, которого является оказание услуг по проведению обязательного аудита годовой бухгалтерской (финансовой) отчетности за 2020 год (извещение № 0187300006520003313) необоснованной.</w:t>
      </w:r>
    </w:p>
    <w:p>
      <w:pPr>
        <w:pStyle w:val="Style10"/>
        <w:numPr>
          <w:ilvl w:val="0"/>
          <w:numId w:val="7"/>
        </w:numPr>
        <w:widowControl w:val="0"/>
        <w:keepNext w:val="0"/>
        <w:keepLines w:val="0"/>
        <w:shd w:val="clear" w:color="auto" w:fill="auto"/>
        <w:bidi w:val="0"/>
        <w:jc w:val="both"/>
        <w:spacing w:before="0" w:after="0"/>
        <w:ind w:left="0" w:right="0" w:firstLine="700"/>
      </w:pPr>
      <w:r>
        <w:rPr>
          <w:lang w:val="ru-RU" w:eastAsia="ru-RU" w:bidi="ru-RU"/>
          <w:w w:val="100"/>
          <w:spacing w:val="0"/>
          <w:color w:val="000000"/>
          <w:position w:val="0"/>
        </w:rPr>
        <w:t xml:space="preserve"> Обязательное для исполнения предписание не выдавать.</w:t>
      </w:r>
    </w:p>
    <w:p>
      <w:pPr>
        <w:pStyle w:val="Style10"/>
        <w:numPr>
          <w:ilvl w:val="0"/>
          <w:numId w:val="7"/>
        </w:numPr>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w:t>
      </w:r>
    </w:p>
    <w:p>
      <w:pPr>
        <w:pStyle w:val="Style10"/>
        <w:widowControl w:val="0"/>
        <w:keepNext w:val="0"/>
        <w:keepLines w:val="0"/>
        <w:shd w:val="clear" w:color="auto" w:fill="auto"/>
        <w:bidi w:val="0"/>
        <w:jc w:val="both"/>
        <w:spacing w:before="0" w:after="0" w:line="230" w:lineRule="exact"/>
        <w:ind w:left="0" w:right="0" w:firstLine="0"/>
      </w:pPr>
      <w:r>
        <w:rPr>
          <w:lang w:val="ru-RU" w:eastAsia="ru-RU" w:bidi="ru-RU"/>
          <w:w w:val="100"/>
          <w:spacing w:val="0"/>
          <w:color w:val="000000"/>
          <w:position w:val="0"/>
        </w:rPr>
        <w:t>Председатель Комиссии</w:t>
      </w:r>
    </w:p>
    <w:p>
      <w:pPr>
        <w:pStyle w:val="Style10"/>
        <w:widowControl w:val="0"/>
        <w:keepNext w:val="0"/>
        <w:keepLines w:val="0"/>
        <w:shd w:val="clear" w:color="auto" w:fill="auto"/>
        <w:bidi w:val="0"/>
        <w:jc w:val="both"/>
        <w:spacing w:before="0" w:after="39" w:line="230" w:lineRule="exact"/>
        <w:ind w:left="0" w:right="0" w:firstLine="0"/>
      </w:pPr>
      <w:r>
        <w:rPr>
          <w:lang w:val="ru-RU" w:eastAsia="ru-RU" w:bidi="ru-RU"/>
          <w:w w:val="100"/>
          <w:spacing w:val="0"/>
          <w:color w:val="000000"/>
          <w:position w:val="0"/>
        </w:rPr>
        <w:t>Члены Комиссии:</w:t>
      </w:r>
    </w:p>
    <w:p>
      <w:pPr>
        <w:pStyle w:val="Style34"/>
        <w:widowControl w:val="0"/>
        <w:keepNext w:val="0"/>
        <w:keepLines w:val="0"/>
        <w:shd w:val="clear" w:color="auto" w:fill="auto"/>
        <w:bidi w:val="0"/>
        <w:spacing w:before="0" w:after="0"/>
        <w:ind w:left="0" w:right="20"/>
      </w:pPr>
      <w:r>
        <w:rPr>
          <w:lang w:val="ru-RU" w:eastAsia="ru-RU" w:bidi="ru-RU"/>
          <w:w w:val="100"/>
          <w:spacing w:val="0"/>
          <w:color w:val="000000"/>
          <w:position w:val="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судебном'порядке в течение трех месяцев со дня его принятия.</w:t>
      </w:r>
    </w:p>
    <w:sectPr>
      <w:footnotePr>
        <w:pos w:val="pageBottom"/>
        <w:numFmt w:val="decimal"/>
        <w:numRestart w:val="continuous"/>
      </w:footnotePr>
      <w:type w:val="continuous"/>
      <w:pgSz w:w="11906" w:h="16838"/>
      <w:pgMar w:top="326" w:left="716" w:right="684" w:bottom="142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9.0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2021"/>
      <w:numFmt w:val="decimal"/>
      <w:lvlText w:val="29.0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2"/>
      <w:szCs w:val="22"/>
      <w:rFonts w:ascii="Times New Roman" w:eastAsia="Times New Roman" w:hAnsi="Times New Roman" w:cs="Times New Roman"/>
      <w:spacing w:val="6"/>
    </w:rPr>
  </w:style>
  <w:style w:type="character" w:customStyle="1" w:styleId="CharStyle6">
    <w:name w:val="Основной текст (3) Exact"/>
    <w:basedOn w:val="DefaultParagraphFont"/>
    <w:link w:val="Style5"/>
    <w:rPr>
      <w:b/>
      <w:bCs/>
      <w:i w:val="0"/>
      <w:iCs w:val="0"/>
      <w:u w:val="none"/>
      <w:strike w:val="0"/>
      <w:smallCaps w:val="0"/>
      <w:rFonts w:ascii="Times New Roman" w:eastAsia="Times New Roman" w:hAnsi="Times New Roman" w:cs="Times New Roman"/>
      <w:spacing w:val="7"/>
    </w:rPr>
  </w:style>
  <w:style w:type="character" w:customStyle="1" w:styleId="CharStyle8">
    <w:name w:val="Основной текст (4) Exact"/>
    <w:basedOn w:val="DefaultParagraphFont"/>
    <w:link w:val="Style7"/>
    <w:rPr>
      <w:b w:val="0"/>
      <w:bCs w:val="0"/>
      <w:i w:val="0"/>
      <w:iCs w:val="0"/>
      <w:u w:val="none"/>
      <w:strike w:val="0"/>
      <w:smallCaps w:val="0"/>
      <w:sz w:val="16"/>
      <w:szCs w:val="16"/>
      <w:rFonts w:ascii="Times New Roman" w:eastAsia="Times New Roman" w:hAnsi="Times New Roman" w:cs="Times New Roman"/>
      <w:spacing w:val="9"/>
    </w:rPr>
  </w:style>
  <w:style w:type="character" w:customStyle="1" w:styleId="CharStyle9">
    <w:name w:val="Основной текст (4) Exact"/>
    <w:basedOn w:val="CharStyle8"/>
    <w:rPr>
      <w:lang w:val="en-US" w:eastAsia="en-US" w:bidi="en-US"/>
      <w:u w:val="single"/>
      <w:w w:val="100"/>
      <w:color w:val="000000"/>
      <w:position w:val="0"/>
    </w:rPr>
  </w:style>
  <w:style w:type="character" w:customStyle="1" w:styleId="CharStyle11">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7"/>
    </w:rPr>
  </w:style>
  <w:style w:type="character" w:customStyle="1" w:styleId="CharStyle12">
    <w:name w:val="Основной текст + 12 pt,Курсив,Интервал -2 pt Exact"/>
    <w:basedOn w:val="CharStyle16"/>
    <w:rPr>
      <w:lang w:val="en-US" w:eastAsia="en-US" w:bidi="en-US"/>
      <w:i/>
      <w:iCs/>
      <w:u w:val="single"/>
      <w:sz w:val="24"/>
      <w:szCs w:val="24"/>
      <w:spacing w:val="-44"/>
    </w:rPr>
  </w:style>
  <w:style w:type="character" w:customStyle="1" w:styleId="CharStyle13">
    <w:name w:val="Основной текст Exact"/>
    <w:basedOn w:val="CharStyle16"/>
    <w:rPr>
      <w:lang w:val="en-US" w:eastAsia="en-US" w:bidi="en-US"/>
      <w:u w:val="single"/>
      <w:sz w:val="22"/>
      <w:szCs w:val="22"/>
      <w:spacing w:val="7"/>
    </w:rPr>
  </w:style>
  <w:style w:type="character" w:customStyle="1" w:styleId="CharStyle14">
    <w:name w:val="Основной текст Exact"/>
    <w:basedOn w:val="CharStyle16"/>
    <w:rPr>
      <w:u w:val="single"/>
      <w:sz w:val="22"/>
      <w:szCs w:val="22"/>
      <w:spacing w:val="7"/>
    </w:rPr>
  </w:style>
  <w:style w:type="character" w:customStyle="1" w:styleId="CharStyle15">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16">
    <w:name w:val="Основной текст_"/>
    <w:basedOn w:val="DefaultParagraphFont"/>
    <w:link w:val="Style10"/>
    <w:rPr>
      <w:b w:val="0"/>
      <w:bCs w:val="0"/>
      <w:i w:val="0"/>
      <w:iCs w:val="0"/>
      <w:u w:val="none"/>
      <w:strike w:val="0"/>
      <w:smallCaps w:val="0"/>
      <w:sz w:val="23"/>
      <w:szCs w:val="23"/>
      <w:rFonts w:ascii="Times New Roman" w:eastAsia="Times New Roman" w:hAnsi="Times New Roman" w:cs="Times New Roman"/>
    </w:rPr>
  </w:style>
  <w:style w:type="character" w:customStyle="1" w:styleId="CharStyle17">
    <w:name w:val="Основной текст + Полужирный"/>
    <w:basedOn w:val="CharStyle16"/>
    <w:rPr>
      <w:lang w:val="ru-RU" w:eastAsia="ru-RU" w:bidi="ru-RU"/>
      <w:b/>
      <w:bCs/>
      <w:w w:val="100"/>
      <w:spacing w:val="0"/>
      <w:color w:val="000000"/>
      <w:position w:val="0"/>
    </w:rPr>
  </w:style>
  <w:style w:type="character" w:customStyle="1" w:styleId="CharStyle18">
    <w:name w:val="Основной текст"/>
    <w:basedOn w:val="CharStyle16"/>
    <w:rPr>
      <w:lang w:val="en-US" w:eastAsia="en-US" w:bidi="en-US"/>
      <w:u w:val="single"/>
      <w:w w:val="100"/>
      <w:spacing w:val="0"/>
      <w:color w:val="000000"/>
      <w:position w:val="0"/>
    </w:rPr>
  </w:style>
  <w:style w:type="character" w:customStyle="1" w:styleId="CharStyle20">
    <w:name w:val="Заголовок №2_"/>
    <w:basedOn w:val="DefaultParagraphFont"/>
    <w:link w:val="Style19"/>
    <w:rPr>
      <w:b/>
      <w:bCs/>
      <w:i w:val="0"/>
      <w:iCs w:val="0"/>
      <w:u w:val="none"/>
      <w:strike w:val="0"/>
      <w:smallCaps w:val="0"/>
      <w:sz w:val="23"/>
      <w:szCs w:val="23"/>
      <w:rFonts w:ascii="Times New Roman" w:eastAsia="Times New Roman" w:hAnsi="Times New Roman" w:cs="Times New Roman"/>
    </w:rPr>
  </w:style>
  <w:style w:type="character" w:customStyle="1" w:styleId="CharStyle21">
    <w:name w:val="Основной текст + Microsoft Sans Serif,7 pt"/>
    <w:basedOn w:val="CharStyle16"/>
    <w:rPr>
      <w:lang w:val="en-US" w:eastAsia="en-US" w:bidi="en-US"/>
      <w:sz w:val="14"/>
      <w:szCs w:val="14"/>
      <w:rFonts w:ascii="Microsoft Sans Serif" w:eastAsia="Microsoft Sans Serif" w:hAnsi="Microsoft Sans Serif" w:cs="Microsoft Sans Serif"/>
      <w:w w:val="100"/>
      <w:spacing w:val="0"/>
      <w:color w:val="000000"/>
      <w:position w:val="0"/>
    </w:rPr>
  </w:style>
  <w:style w:type="character" w:customStyle="1" w:styleId="CharStyle23">
    <w:name w:val="Основной текст (5)_"/>
    <w:basedOn w:val="DefaultParagraphFont"/>
    <w:link w:val="Style22"/>
    <w:rPr>
      <w:b w:val="0"/>
      <w:bCs w:val="0"/>
      <w:i w:val="0"/>
      <w:iCs w:val="0"/>
      <w:u w:val="none"/>
      <w:strike w:val="0"/>
      <w:smallCaps w:val="0"/>
      <w:sz w:val="22"/>
      <w:szCs w:val="22"/>
      <w:rFonts w:ascii="Times New Roman" w:eastAsia="Times New Roman" w:hAnsi="Times New Roman" w:cs="Times New Roman"/>
    </w:rPr>
  </w:style>
  <w:style w:type="character" w:customStyle="1" w:styleId="CharStyle25">
    <w:name w:val="Подпись к таблице_"/>
    <w:basedOn w:val="DefaultParagraphFont"/>
    <w:link w:val="Style24"/>
    <w:rPr>
      <w:b w:val="0"/>
      <w:bCs w:val="0"/>
      <w:i w:val="0"/>
      <w:iCs w:val="0"/>
      <w:u w:val="none"/>
      <w:strike w:val="0"/>
      <w:smallCaps w:val="0"/>
      <w:sz w:val="23"/>
      <w:szCs w:val="23"/>
      <w:rFonts w:ascii="Times New Roman" w:eastAsia="Times New Roman" w:hAnsi="Times New Roman" w:cs="Times New Roman"/>
    </w:rPr>
  </w:style>
  <w:style w:type="character" w:customStyle="1" w:styleId="CharStyle26">
    <w:name w:val="Подпись к таблице"/>
    <w:basedOn w:val="CharStyle25"/>
    <w:rPr>
      <w:lang w:val="ru-RU" w:eastAsia="ru-RU" w:bidi="ru-RU"/>
      <w:u w:val="single"/>
      <w:w w:val="100"/>
      <w:spacing w:val="0"/>
      <w:color w:val="000000"/>
      <w:position w:val="0"/>
    </w:rPr>
  </w:style>
  <w:style w:type="character" w:customStyle="1" w:styleId="CharStyle27">
    <w:name w:val="Основной текст + 8,5 pt"/>
    <w:basedOn w:val="CharStyle16"/>
    <w:rPr>
      <w:lang w:val="ru-RU" w:eastAsia="ru-RU" w:bidi="ru-RU"/>
      <w:sz w:val="17"/>
      <w:szCs w:val="17"/>
      <w:w w:val="100"/>
      <w:spacing w:val="0"/>
      <w:color w:val="000000"/>
      <w:position w:val="0"/>
    </w:rPr>
  </w:style>
  <w:style w:type="character" w:customStyle="1" w:styleId="CharStyle28">
    <w:name w:val="Основной текст + Интервал 1 pt"/>
    <w:basedOn w:val="CharStyle16"/>
    <w:rPr>
      <w:lang w:val="ru-RU" w:eastAsia="ru-RU" w:bidi="ru-RU"/>
      <w:w w:val="100"/>
      <w:spacing w:val="20"/>
      <w:color w:val="000000"/>
      <w:position w:val="0"/>
    </w:rPr>
  </w:style>
  <w:style w:type="character" w:customStyle="1" w:styleId="CharStyle29">
    <w:name w:val="Основной текст + 4 pt"/>
    <w:basedOn w:val="CharStyle16"/>
    <w:rPr>
      <w:lang w:val="ru-RU" w:eastAsia="ru-RU" w:bidi="ru-RU"/>
      <w:sz w:val="8"/>
      <w:szCs w:val="8"/>
      <w:w w:val="100"/>
      <w:spacing w:val="0"/>
      <w:color w:val="000000"/>
      <w:position w:val="0"/>
    </w:rPr>
  </w:style>
  <w:style w:type="character" w:customStyle="1" w:styleId="CharStyle30">
    <w:name w:val="Основной текст + Microsoft Sans Serif,13 pt"/>
    <w:basedOn w:val="CharStyle16"/>
    <w:rPr>
      <w:lang w:val="ru-RU" w:eastAsia="ru-RU" w:bidi="ru-RU"/>
      <w:sz w:val="26"/>
      <w:szCs w:val="26"/>
      <w:rFonts w:ascii="Microsoft Sans Serif" w:eastAsia="Microsoft Sans Serif" w:hAnsi="Microsoft Sans Serif" w:cs="Microsoft Sans Serif"/>
      <w:w w:val="100"/>
      <w:spacing w:val="0"/>
      <w:color w:val="000000"/>
      <w:position w:val="0"/>
    </w:rPr>
  </w:style>
  <w:style w:type="character" w:customStyle="1" w:styleId="CharStyle31">
    <w:name w:val="Основной текст + 4 pt"/>
    <w:basedOn w:val="CharStyle16"/>
    <w:rPr>
      <w:lang w:val="ru-RU" w:eastAsia="ru-RU" w:bidi="ru-RU"/>
      <w:sz w:val="8"/>
      <w:szCs w:val="8"/>
      <w:w w:val="100"/>
      <w:spacing w:val="0"/>
      <w:color w:val="000000"/>
      <w:position w:val="0"/>
    </w:rPr>
  </w:style>
  <w:style w:type="character" w:customStyle="1" w:styleId="CharStyle33">
    <w:name w:val="Заголовок №1_"/>
    <w:basedOn w:val="DefaultParagraphFont"/>
    <w:link w:val="Style32"/>
    <w:rPr>
      <w:b/>
      <w:bCs/>
      <w:i w:val="0"/>
      <w:iCs w:val="0"/>
      <w:u w:val="none"/>
      <w:strike w:val="0"/>
      <w:smallCaps w:val="0"/>
      <w:sz w:val="23"/>
      <w:szCs w:val="23"/>
      <w:rFonts w:ascii="Times New Roman" w:eastAsia="Times New Roman" w:hAnsi="Times New Roman" w:cs="Times New Roman"/>
    </w:rPr>
  </w:style>
  <w:style w:type="character" w:customStyle="1" w:styleId="CharStyle35">
    <w:name w:val="Основной текст (6)_"/>
    <w:basedOn w:val="DefaultParagraphFont"/>
    <w:link w:val="Style34"/>
    <w:rPr>
      <w:b w:val="0"/>
      <w:bCs w:val="0"/>
      <w:i/>
      <w:iCs/>
      <w:u w:val="none"/>
      <w:strike w:val="0"/>
      <w:smallCaps w:val="0"/>
      <w:sz w:val="17"/>
      <w:szCs w:val="17"/>
      <w:rFonts w:ascii="Times New Roman" w:eastAsia="Times New Roman" w:hAnsi="Times New Roman" w:cs="Times New Roman"/>
    </w:rPr>
  </w:style>
  <w:style w:type="paragraph" w:customStyle="1" w:styleId="Style3">
    <w:name w:val="Основной текст (2)"/>
    <w:basedOn w:val="Normal"/>
    <w:link w:val="CharStyle15"/>
    <w:pPr>
      <w:widowControl w:val="0"/>
      <w:shd w:val="clear" w:color="auto" w:fill="FFFFFF"/>
      <w:jc w:val="right"/>
      <w:spacing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line="274" w:lineRule="exact"/>
    </w:pPr>
    <w:rPr>
      <w:b/>
      <w:bCs/>
      <w:i w:val="0"/>
      <w:iCs w:val="0"/>
      <w:u w:val="none"/>
      <w:strike w:val="0"/>
      <w:smallCaps w:val="0"/>
      <w:rFonts w:ascii="Times New Roman" w:eastAsia="Times New Roman" w:hAnsi="Times New Roman" w:cs="Times New Roman"/>
      <w:spacing w:val="7"/>
    </w:rPr>
  </w:style>
  <w:style w:type="paragraph" w:customStyle="1" w:styleId="Style7">
    <w:name w:val="Основной текст (4)"/>
    <w:basedOn w:val="Normal"/>
    <w:link w:val="CharStyle8"/>
    <w:pPr>
      <w:widowControl w:val="0"/>
      <w:shd w:val="clear" w:color="auto" w:fill="FFFFFF"/>
      <w:jc w:val="center"/>
      <w:spacing w:after="180" w:line="230" w:lineRule="exact"/>
    </w:pPr>
    <w:rPr>
      <w:b w:val="0"/>
      <w:bCs w:val="0"/>
      <w:i w:val="0"/>
      <w:iCs w:val="0"/>
      <w:u w:val="none"/>
      <w:strike w:val="0"/>
      <w:smallCaps w:val="0"/>
      <w:sz w:val="16"/>
      <w:szCs w:val="16"/>
      <w:rFonts w:ascii="Times New Roman" w:eastAsia="Times New Roman" w:hAnsi="Times New Roman" w:cs="Times New Roman"/>
      <w:spacing w:val="9"/>
    </w:rPr>
  </w:style>
  <w:style w:type="paragraph" w:customStyle="1" w:styleId="Style10">
    <w:name w:val="Основной текст"/>
    <w:basedOn w:val="Normal"/>
    <w:link w:val="CharStyle16"/>
    <w:pPr>
      <w:widowControl w:val="0"/>
      <w:shd w:val="clear" w:color="auto" w:fill="FFFFFF"/>
      <w:jc w:val="right"/>
      <w:spacing w:line="27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9">
    <w:name w:val="Заголовок №2"/>
    <w:basedOn w:val="Normal"/>
    <w:link w:val="CharStyle20"/>
    <w:pPr>
      <w:widowControl w:val="0"/>
      <w:shd w:val="clear" w:color="auto" w:fill="FFFFFF"/>
      <w:jc w:val="center"/>
      <w:outlineLvl w:val="1"/>
      <w:spacing w:before="120" w:after="24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2">
    <w:name w:val="Основной текст (5)"/>
    <w:basedOn w:val="Normal"/>
    <w:link w:val="CharStyle23"/>
    <w:pPr>
      <w:widowControl w:val="0"/>
      <w:shd w:val="clear" w:color="auto" w:fill="FFFFFF"/>
      <w:jc w:val="both"/>
      <w:spacing w:line="274" w:lineRule="exact"/>
      <w:ind w:firstLine="700"/>
    </w:pPr>
    <w:rPr>
      <w:b w:val="0"/>
      <w:bCs w:val="0"/>
      <w:i w:val="0"/>
      <w:iCs w:val="0"/>
      <w:u w:val="none"/>
      <w:strike w:val="0"/>
      <w:smallCaps w:val="0"/>
      <w:sz w:val="22"/>
      <w:szCs w:val="22"/>
      <w:rFonts w:ascii="Times New Roman" w:eastAsia="Times New Roman" w:hAnsi="Times New Roman" w:cs="Times New Roman"/>
    </w:rPr>
  </w:style>
  <w:style w:type="paragraph" w:customStyle="1" w:styleId="Style24">
    <w:name w:val="Подпись к таблице"/>
    <w:basedOn w:val="Normal"/>
    <w:link w:val="CharStyle25"/>
    <w:pPr>
      <w:widowControl w:val="0"/>
      <w:shd w:val="clear" w:color="auto" w:fill="FFFFFF"/>
      <w:jc w:val="both"/>
      <w:spacing w:line="27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32">
    <w:name w:val="Заголовок №1"/>
    <w:basedOn w:val="Normal"/>
    <w:link w:val="CharStyle33"/>
    <w:pPr>
      <w:widowControl w:val="0"/>
      <w:shd w:val="clear" w:color="auto" w:fill="FFFFFF"/>
      <w:outlineLvl w:val="0"/>
      <w:spacing w:before="18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34">
    <w:name w:val="Основной текст (6)"/>
    <w:basedOn w:val="Normal"/>
    <w:link w:val="CharStyle35"/>
    <w:pPr>
      <w:widowControl w:val="0"/>
      <w:shd w:val="clear" w:color="auto" w:fill="FFFFFF"/>
      <w:jc w:val="both"/>
      <w:spacing w:before="120" w:line="202" w:lineRule="exact"/>
      <w:ind w:firstLine="700"/>
    </w:pPr>
    <w:rPr>
      <w:b w:val="0"/>
      <w:bCs w:val="0"/>
      <w:i/>
      <w:iCs/>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