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4"/>
        <w:ind w:left="5320" w:right="20" w:firstLine="0"/>
      </w:pPr>
      <w:r>
        <w:rPr>
          <w:lang w:val="ru-RU" w:eastAsia="ru-RU" w:bidi="ru-RU"/>
          <w:w w:val="100"/>
          <w:spacing w:val="0"/>
          <w:color w:val="000000"/>
          <w:position w:val="0"/>
        </w:rPr>
        <w:t>ГБУЗ «НПЦ ПЗДП им. Г.Е. Сухаревой ДЗМ»</w:t>
      </w:r>
    </w:p>
    <w:p>
      <w:pPr>
        <w:pStyle w:val="Style5"/>
        <w:widowControl w:val="0"/>
        <w:keepNext w:val="0"/>
        <w:keepLines w:val="0"/>
        <w:shd w:val="clear" w:color="auto" w:fill="auto"/>
        <w:bidi w:val="0"/>
        <w:jc w:val="left"/>
        <w:spacing w:before="0" w:after="349" w:line="322" w:lineRule="exact"/>
        <w:ind w:left="5320" w:right="20" w:firstLine="0"/>
      </w:pPr>
      <w:r>
        <w:rPr>
          <w:lang w:val="ru-RU" w:eastAsia="ru-RU" w:bidi="ru-RU"/>
          <w:w w:val="100"/>
          <w:spacing w:val="0"/>
          <w:color w:val="000000"/>
          <w:position w:val="0"/>
        </w:rPr>
        <w:t>5 -й Донской пр-д., д. 21А, г. Москва, 119334</w:t>
      </w:r>
    </w:p>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ООО «Медикал сервис»</w:t>
      </w:r>
    </w:p>
    <w:p>
      <w:pPr>
        <w:pStyle w:val="Style5"/>
        <w:widowControl w:val="0"/>
        <w:keepNext w:val="0"/>
        <w:keepLines w:val="0"/>
        <w:shd w:val="clear" w:color="auto" w:fill="auto"/>
        <w:bidi w:val="0"/>
        <w:jc w:val="left"/>
        <w:spacing w:before="0" w:after="346" w:line="317" w:lineRule="exact"/>
        <w:ind w:left="5320" w:right="20" w:firstLine="0"/>
      </w:pPr>
      <w:r>
        <w:rPr>
          <w:lang w:val="ru-RU" w:eastAsia="ru-RU" w:bidi="ru-RU"/>
          <w:w w:val="100"/>
          <w:spacing w:val="0"/>
          <w:color w:val="000000"/>
          <w:position w:val="0"/>
        </w:rPr>
        <w:t>Дербеневская наб., д. 7, г. Москва, 115114</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538"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9116" w:val="right"/>
          <w:tab w:leader="none" w:pos="10172" w:val="right"/>
        </w:tabs>
        <w:widowControl w:val="0"/>
        <w:keepNext w:val="0"/>
        <w:keepLines w:val="0"/>
        <w:shd w:val="clear" w:color="auto" w:fill="auto"/>
        <w:bidi w:val="0"/>
        <w:jc w:val="left"/>
        <w:spacing w:before="0" w:after="0"/>
        <w:ind w:left="20" w:right="20" w:firstLine="4540"/>
      </w:pPr>
      <w:r>
        <w:rPr>
          <w:lang w:val="ru-RU" w:eastAsia="ru-RU" w:bidi="ru-RU"/>
          <w:w w:val="100"/>
          <w:spacing w:val="0"/>
          <w:color w:val="000000"/>
          <w:position w:val="0"/>
        </w:rPr>
        <w:t>РЕШЕНИЕ по делу №077/06/106-1609/2021 о нарушении законодательства о контрактной системе 04.02.2021</w:t>
        <w:tab/>
        <w:t>г.</w:t>
        <w:tab/>
        <w:t>Москва</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tabs>
          <w:tab w:leader="none" w:pos="644"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рассмотрение жалоб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при участии представителей:</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ГБУЗ «Н</w:t>
      </w:r>
      <w:r>
        <w:rPr>
          <w:rStyle w:val="CharStyle9"/>
        </w:rPr>
        <w:t>ПЦ</w:t>
      </w:r>
      <w:r>
        <w:rPr>
          <w:lang w:val="ru-RU" w:eastAsia="ru-RU" w:bidi="ru-RU"/>
          <w:w w:val="100"/>
          <w:spacing w:val="0"/>
          <w:color w:val="000000"/>
          <w:position w:val="0"/>
        </w:rPr>
        <w:t xml:space="preserve"> ПЗДП им. Г.Е. Сухаревой ДЗМ»: В.А. Пеньковой,</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ООО «Медикал сервис»: П.В. Ханжина,</w:t>
      </w:r>
    </w:p>
    <w:p>
      <w:pPr>
        <w:pStyle w:val="Style3"/>
        <w:framePr w:w="1349" w:h="427" w:wrap="around" w:vAnchor="text" w:hAnchor="margin" w:x="356" w:y="161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001475127506</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рассмотрев жалобы ООО «Медикал сервис» (далее — Заявитель) на действия ГБУЗ «Н</w:t>
      </w:r>
      <w:r>
        <w:rPr>
          <w:rStyle w:val="CharStyle9"/>
        </w:rPr>
        <w:t>ПЦ</w:t>
      </w:r>
      <w:r>
        <w:rPr>
          <w:lang w:val="ru-RU" w:eastAsia="ru-RU" w:bidi="ru-RU"/>
          <w:w w:val="100"/>
          <w:spacing w:val="0"/>
          <w:color w:val="000000"/>
          <w:position w:val="0"/>
        </w:rPr>
        <w:t xml:space="preserve"> ПЗДП им. Г.Е. Сухаревой ДЗМ» (далее — Заказчик) при проведении открытых конкурсов в электронной форме на право заключения государственных контрактов на текущий ремонт помещений 2 этажа строения 5 ГБУЗ «Н</w:t>
      </w:r>
      <w:r>
        <w:rPr>
          <w:rStyle w:val="CharStyle9"/>
        </w:rPr>
        <w:t>ПЦ</w:t>
      </w:r>
      <w:r>
        <w:rPr>
          <w:lang w:val="ru-RU" w:eastAsia="ru-RU" w:bidi="ru-RU"/>
          <w:w w:val="100"/>
          <w:spacing w:val="0"/>
          <w:color w:val="000000"/>
          <w:position w:val="0"/>
        </w:rPr>
        <w:t xml:space="preserve"> ПЗДП</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им. Г.Е. Сухаревой ДЗМ»; текущий ремонт фасада и отмостки строения 19 ГБУЗ «НПЦ ПЗДП им. Г.Е. Сухаревой ДЗМ» (Закупки №№ 0373200026420000254, 0373200026420000240) (далее - открытые конкурсы в электронной форме, конкурсы)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Московское УФАС России поступили жалобы Заявителя на действия Заказчика при проведении указанных конкурсов.</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ЕИ/5157/21 от 01.02.2021.</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Комиссия Управления установила следующее.</w:t>
      </w:r>
    </w:p>
    <w:p>
      <w:pPr>
        <w:pStyle w:val="Style5"/>
        <w:numPr>
          <w:ilvl w:val="0"/>
          <w:numId w:val="1"/>
        </w:numPr>
        <w:tabs>
          <w:tab w:leader="none" w:pos="894" w:val="left"/>
        </w:tabs>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Заявитель в жалобах указывает на то, что установленный Заказчиком порядок оценки по показателю «Обеспеченность участника закупки трудовыми ресурсами»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нарушает положения законодательства о контрактной системе.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силу п.1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ст.33 Закона о контрактной системе, в том числе обоснование начальной (максимальной) цены контракта, начальных цен единиц товара, работы, услуги.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ч.15 ст.54.4 Закона о контрактной системе не допускается устанавливать иные требования к оформлению заявки, не предусмотренные статьей 54.4 Закона о контрактной системе, а также частями 5 и 6 статьи 24.1 Закона о контрактной системе.</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Согласно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конкурсной документацией оценка заявок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с использованием не менее 2 критериев оценки заявок.</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При этом 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п.10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п.11 Правил для оценки заявок (предложений) по каждому критерию оценки используется 100-балльная шкала оценки. Если в соответствии с п.10 Правил оценки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п.29 Правил оценки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Комиссией Управления установлено, что Заказчиком утвержден следующий порядок оценки конкурсных заявок по показателю «Обеспеченность участника закупки трудовыми ресурсами» нестоимостного критерия:</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«Максимальное количество баллов - 100 баллов.</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Оценивается предложение участника о наличии в штате участника закупки и/или наличии привлекаемых для выполнения работ работников следующих профессий:</w:t>
      </w:r>
    </w:p>
    <w:p>
      <w:pPr>
        <w:pStyle w:val="Style12"/>
        <w:widowControl w:val="0"/>
        <w:keepNext w:val="0"/>
        <w:keepLines w:val="0"/>
        <w:shd w:val="clear" w:color="auto" w:fill="auto"/>
        <w:bidi w:val="0"/>
        <w:spacing w:before="0" w:after="0"/>
        <w:ind w:left="0" w:right="0" w:firstLine="560"/>
      </w:pPr>
      <w:r>
        <w:rPr>
          <w:lang w:val="ru-RU" w:eastAsia="ru-RU" w:bidi="ru-RU"/>
          <w:w w:val="100"/>
          <w:spacing w:val="0"/>
          <w:color w:val="000000"/>
          <w:position w:val="0"/>
        </w:rPr>
        <w:t>(Закупочная процедура №0373200026420000240)</w:t>
      </w:r>
    </w:p>
    <w:p>
      <w:pPr>
        <w:pStyle w:val="Style5"/>
        <w:numPr>
          <w:ilvl w:val="0"/>
          <w:numId w:val="3"/>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производитель работ (прораб и/или мастер и /или инженер) не менее одного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штукатур-маляр не менее 10 человек</w:t>
      </w:r>
    </w:p>
    <w:p>
      <w:pPr>
        <w:pStyle w:val="Style5"/>
        <w:numPr>
          <w:ilvl w:val="0"/>
          <w:numId w:val="3"/>
        </w:numPr>
        <w:widowControl w:val="0"/>
        <w:keepNext w:val="0"/>
        <w:keepLines w:val="0"/>
        <w:shd w:val="clear" w:color="auto" w:fill="auto"/>
        <w:bidi w:val="0"/>
        <w:jc w:val="left"/>
        <w:spacing w:before="0" w:after="0" w:line="322" w:lineRule="exact"/>
        <w:ind w:left="560" w:right="5720" w:firstLine="0"/>
      </w:pPr>
      <w:r>
        <w:rPr>
          <w:lang w:val="ru-RU" w:eastAsia="ru-RU" w:bidi="ru-RU"/>
          <w:w w:val="100"/>
          <w:spacing w:val="0"/>
          <w:color w:val="000000"/>
          <w:position w:val="0"/>
        </w:rPr>
        <w:t xml:space="preserve"> кровельщик не менее 2 человек -сварщик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каменщик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плотник не менее 1 человека</w:t>
      </w:r>
    </w:p>
    <w:p>
      <w:pPr>
        <w:pStyle w:val="Style12"/>
        <w:numPr>
          <w:ilvl w:val="0"/>
          <w:numId w:val="3"/>
        </w:numPr>
        <w:widowControl w:val="0"/>
        <w:keepNext w:val="0"/>
        <w:keepLines w:val="0"/>
        <w:shd w:val="clear" w:color="auto" w:fill="auto"/>
        <w:bidi w:val="0"/>
        <w:jc w:val="left"/>
        <w:spacing w:before="0" w:after="0"/>
        <w:ind w:left="560" w:right="3840" w:firstLine="0"/>
      </w:pPr>
      <w:r>
        <w:rPr>
          <w:rStyle w:val="CharStyle14"/>
          <w:i w:val="0"/>
          <w:iCs w:val="0"/>
        </w:rPr>
        <w:t xml:space="preserve"> разнорабочие не менее 10 человек </w:t>
      </w:r>
      <w:r>
        <w:rPr>
          <w:lang w:val="ru-RU" w:eastAsia="ru-RU" w:bidi="ru-RU"/>
          <w:w w:val="100"/>
          <w:spacing w:val="0"/>
          <w:color w:val="000000"/>
          <w:position w:val="0"/>
        </w:rPr>
        <w:t>(Закупочная процедура №0373200026420000254)</w:t>
      </w:r>
    </w:p>
    <w:p>
      <w:pPr>
        <w:pStyle w:val="Style5"/>
        <w:numPr>
          <w:ilvl w:val="0"/>
          <w:numId w:val="3"/>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производитель работ (прораб и/или мастер и /или инженер)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штукатур-маляр не менее 10 человек</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-монтажник сантехнических систем и оборудования не менее 3 человек</w:t>
      </w:r>
    </w:p>
    <w:p>
      <w:pPr>
        <w:pStyle w:val="Style5"/>
        <w:numPr>
          <w:ilvl w:val="0"/>
          <w:numId w:val="3"/>
        </w:numPr>
        <w:widowControl w:val="0"/>
        <w:keepNext w:val="0"/>
        <w:keepLines w:val="0"/>
        <w:shd w:val="clear" w:color="auto" w:fill="auto"/>
        <w:bidi w:val="0"/>
        <w:jc w:val="left"/>
        <w:spacing w:before="0" w:after="0" w:line="322" w:lineRule="exact"/>
        <w:ind w:left="560" w:right="5900" w:firstLine="0"/>
      </w:pPr>
      <w:r>
        <w:rPr>
          <w:lang w:val="ru-RU" w:eastAsia="ru-RU" w:bidi="ru-RU"/>
          <w:w w:val="100"/>
          <w:spacing w:val="0"/>
          <w:color w:val="000000"/>
          <w:position w:val="0"/>
        </w:rPr>
        <w:t xml:space="preserve"> плиточник не менее 2 человек -паркетчик не менее 2 человек</w:t>
      </w:r>
    </w:p>
    <w:p>
      <w:pPr>
        <w:pStyle w:val="Style5"/>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-монтажник гипсокартонных конструкций - не менее 2 человек</w:t>
      </w:r>
    </w:p>
    <w:p>
      <w:pPr>
        <w:pStyle w:val="Style5"/>
        <w:numPr>
          <w:ilvl w:val="0"/>
          <w:numId w:val="3"/>
        </w:numPr>
        <w:widowControl w:val="0"/>
        <w:keepNext w:val="0"/>
        <w:keepLines w:val="0"/>
        <w:shd w:val="clear" w:color="auto" w:fill="auto"/>
        <w:bidi w:val="0"/>
        <w:jc w:val="left"/>
        <w:spacing w:before="0" w:after="0" w:line="322" w:lineRule="exact"/>
        <w:ind w:left="560" w:right="4900" w:firstLine="0"/>
      </w:pPr>
      <w:r>
        <w:rPr>
          <w:lang w:val="ru-RU" w:eastAsia="ru-RU" w:bidi="ru-RU"/>
          <w:w w:val="100"/>
          <w:spacing w:val="0"/>
          <w:color w:val="000000"/>
          <w:position w:val="0"/>
        </w:rPr>
        <w:t xml:space="preserve"> электромонтажник не менее 2 человек -сварщик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плотник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 xml:space="preserve"> Пропитчик по огнезащитной пропитке не ниже 2 разряда- не менее 1 человека</w:t>
      </w:r>
    </w:p>
    <w:p>
      <w:pPr>
        <w:pStyle w:val="Style5"/>
        <w:numPr>
          <w:ilvl w:val="0"/>
          <w:numId w:val="3"/>
        </w:numPr>
        <w:widowControl w:val="0"/>
        <w:keepNext w:val="0"/>
        <w:keepLines w:val="0"/>
        <w:shd w:val="clear" w:color="auto" w:fill="auto"/>
        <w:bidi w:val="0"/>
        <w:jc w:val="left"/>
        <w:spacing w:before="0" w:after="0" w:line="322" w:lineRule="exact"/>
        <w:ind w:left="560" w:right="3720" w:firstLine="0"/>
      </w:pPr>
      <w:r>
        <w:rPr>
          <w:lang w:val="ru-RU" w:eastAsia="ru-RU" w:bidi="ru-RU"/>
          <w:w w:val="100"/>
          <w:spacing w:val="0"/>
          <w:color w:val="000000"/>
          <w:position w:val="0"/>
        </w:rPr>
        <w:t xml:space="preserve"> разнорабочие не менее 5 человек Минимальное количество работников 30 человек.</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 рассмотрению принимаются заявки участников, имеющих в штате организации или на основании гражданско-правового договора, одновременно всех перечисленных выше работников, имеющих допуск для работы на высоте, подтверждается удостоверением.</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 рассмотрению принимаются заявки участников, имеющих в штате организации или привлекаемых к выполнению работ на основании гражданско- правового договора, одновременно всех перечисленных выше профессий.</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Участником (в случае наличия таких рабочих и специалистов) в составе второй части заявки в качестве предложения по данному показателю предоставляются «Сводные сведения о наличии у Участника трудовых ресурсов, которые будут задействованы при исполнении контракта», содержащие перечень сотрудников, информацию о должности каждого сотрудника (для сотрудников, находящегося в штате организации), либо указание, на то, что он является привлеченным работником (для сотрудников, работающих на основании гражданско- правового договора), его ФИО, и область его квалификации, в соответствии с вышеуказанным перечнем профессий. Предоставленные Участником сводные сведения подтверждаются копиями трудовых книжек указанных в сводных сведениях сотрудников, либо копиями трудовых/гражданско-правовых договоров с такими сотрудниками со сроком действия не менее срока действия контракта, заключенного по результатам настоящего конкурса, а также копиями соответствующих сертификатов (удостоверений, аттестатов, и иных документов, удостоверение о допуске к работам на высоте) подтверждающих прохождение обучения / квалификацию представленных в сводных сведениях о трудовых ресурсах. Для профессии «разнорабочий», документальное подтверждение квалификации и обучения, не является обязательным, за исключением допуска к работам на высоте.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подписи и печати.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Непредоставление в составе заявки на участие в конкурсе таких документов не является основанием для отказа в допуске к участию в открытом конкурсе, однако при оценке заявок по настоящему показателю комиссией будут учитываться только те сведения, заявленные участниками закупки, которые подтверждены документально в составе второй части заявки на участие в конкурсе.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Предоставленные Участником иные документы и сведения, предоставление которых порядком оценки заявок участников не установлено, оценке не подлежат.</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Рекомендуемая форма «Сводных сведений о наличии у Участника трудовых ресурсов, которые будут задействованы при исполнении контракта» приведена в Приложении 2 к настоящему порядку оценки заявок.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Порядок оценки заявок по показателю:</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Оценка заявок по указанному показателю осуществляется в соответствии с п. 23 Правил:</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Количество баллов, присуждаемых по критерию оценки (показателю) (НЦБ1), определяется по формуле:</w:t>
      </w:r>
    </w:p>
    <w:p>
      <w:pPr>
        <w:pStyle w:val="Style5"/>
        <w:widowControl w:val="0"/>
        <w:keepNext w:val="0"/>
        <w:keepLines w:val="0"/>
        <w:shd w:val="clear" w:color="auto" w:fill="auto"/>
        <w:bidi w:val="0"/>
        <w:jc w:val="left"/>
        <w:spacing w:before="0" w:after="0" w:line="322" w:lineRule="exact"/>
        <w:ind w:left="560" w:right="5940" w:firstLine="0"/>
      </w:pPr>
      <w:r>
        <w:rPr>
          <w:lang w:val="ru-RU" w:eastAsia="ru-RU" w:bidi="ru-RU"/>
          <w:w w:val="100"/>
          <w:spacing w:val="0"/>
          <w:color w:val="000000"/>
          <w:position w:val="0"/>
        </w:rPr>
        <w:t>НЦБ</w:t>
      </w:r>
      <w:r>
        <w:rPr>
          <w:rStyle w:val="CharStyle15"/>
        </w:rPr>
        <w:t>1</w:t>
      </w:r>
      <w:r>
        <w:rPr>
          <w:lang w:val="ru-RU" w:eastAsia="ru-RU" w:bidi="ru-RU"/>
          <w:w w:val="100"/>
          <w:spacing w:val="0"/>
          <w:color w:val="000000"/>
          <w:position w:val="0"/>
        </w:rPr>
        <w:t xml:space="preserve"> = КЗ </w:t>
      </w:r>
      <w:r>
        <w:rPr>
          <w:lang w:val="en-US" w:eastAsia="en-US" w:bidi="en-US"/>
          <w:w w:val="100"/>
          <w:spacing w:val="0"/>
          <w:color w:val="000000"/>
          <w:position w:val="0"/>
        </w:rPr>
        <w:t xml:space="preserve">x </w:t>
      </w:r>
      <w:r>
        <w:rPr>
          <w:lang w:val="ru-RU" w:eastAsia="ru-RU" w:bidi="ru-RU"/>
          <w:w w:val="100"/>
          <w:spacing w:val="0"/>
          <w:color w:val="000000"/>
          <w:position w:val="0"/>
        </w:rPr>
        <w:t xml:space="preserve">100 </w:t>
      </w:r>
      <w:r>
        <w:rPr>
          <w:lang w:val="en-US" w:eastAsia="en-US" w:bidi="en-US"/>
          <w:w w:val="100"/>
          <w:spacing w:val="0"/>
          <w:color w:val="000000"/>
          <w:position w:val="0"/>
        </w:rPr>
        <w:t xml:space="preserve">x </w:t>
      </w:r>
      <w:r>
        <w:rPr>
          <w:lang w:val="ru-RU" w:eastAsia="ru-RU" w:bidi="ru-RU"/>
          <w:w w:val="100"/>
          <w:spacing w:val="0"/>
          <w:color w:val="000000"/>
          <w:position w:val="0"/>
        </w:rPr>
        <w:t>(К / Ктах), где: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 случае если используется один показатель, КЗ = 1;</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Оценка в 0 баллов по показателю будет присвоена: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участнику конкурса, который не предоставил в составе второй части своей заявки «Сводные сведения о наличии у Участника трудовых ресурсов, которые будут задействованы при исполнении контракта», либо представил Сводные сведения, содержащие не все требуемые данные, указанные в показателе;</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участнику конкурса, который не представил в составе второй части своей заявки документы (копии документов), подтверждающие, предоставленные сведения о наличии трудовых ресурсов, указанных в показателе».</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По мнению Заявителя, утвержденный Заказчиком порядок оценки по показателю «Обеспеченность участника закупки трудовыми ресурсами» является неправомерным, поскольку исходя из вышеуказанных положений оценки 0 баллов присваивается участникам закупки которыми не представлено в составе второй части заявки информации по форме «Сводные сведения о наличии у Участника трудовых ресурсов», иными словами представление сведений об обеспеченности трудовыми ресурсами участников закупки возможно исключительно по форме Заказчика, представление сведений в ином виде не предусмотрено.</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Таким образом, из буквального условия о присуждении 0 баллов за непредоставление «сводной формы» следует, что основанием для присуждении 0 баллов является непредоставление сводного документа, который, в свою очередь не является действительным источником информации, и, исходя из буквального толкования порядка оценки, даже если участники фактически подтверждают наличие у них необходимого персонала трудовыми книжками, гражданско- правовыми договорами, аттестатами и т.д., заявкам таких участников все равно будет присуждено 0 баллов.</w:t>
      </w:r>
    </w:p>
    <w:p>
      <w:pPr>
        <w:pStyle w:val="Style5"/>
        <w:tabs>
          <w:tab w:leader="none" w:pos="7961" w:val="left"/>
        </w:tabs>
        <w:widowControl w:val="0"/>
        <w:keepNext w:val="0"/>
        <w:keepLines w:val="0"/>
        <w:shd w:val="clear" w:color="auto" w:fill="auto"/>
        <w:bidi w:val="0"/>
        <w:jc w:val="both"/>
        <w:spacing w:before="0" w:after="0" w:line="322" w:lineRule="exact"/>
        <w:ind w:left="0" w:right="0" w:firstLine="540"/>
      </w:pPr>
      <w:r>
        <w:rPr>
          <w:lang w:val="ru-RU" w:eastAsia="ru-RU" w:bidi="ru-RU"/>
          <w:w w:val="100"/>
          <w:spacing w:val="0"/>
          <w:color w:val="000000"/>
          <w:position w:val="0"/>
        </w:rPr>
        <w:t>Комиссия Управления отмечает, что положения ч.15</w:t>
        <w:tab/>
        <w:t>ст.54.4 Закона о</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контрактной системе однозначно указывают, что устанавливать требования к оформлению заявки, не предусмотренные статьей 54.4 Закона о контрактной системе, а также частями 5 и 6 статьи 24.1 Закона о контрактной системе не допускается.</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Вместе с тем представителем Заказчика не представлено возражений, опровергающих доводы Заявителя, а также сведений, свидетельствующих о необходимости установления порядка оценки вышеуказанным образом.</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п.8 ч.1 ст.54.3, ч.15 ст.54.4, ч.8 ст.32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По мнению Заявителя, Заказчиком утвержден неправомерный порядок оценки конкурсных заявок по показателю «Обеспеченность участника закупки трудовыми ресурсами»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поскольку конкурсной документацией предъявлены требования о наличии у участника закупки сотрудников определенных профессий и в случае не хватки хотя</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бы одной специальности участнику закупки будет присвоено 0 балов.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Комиссией Управления установлено, что согласно утвержденному порядку оценки по вышеуказанному показателю оценивается предложение участника о наличии в штате участника закупки и/или наличии привлекаемых для выполнения работ работников следующих профессий:</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(Закупочная процедура №0373200026420000240)</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производитель работ (прораб и/или мастер и /или инженер) не менее одного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штукатур-маляр не менее 10 человек</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кровельщик не менее 2 человек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-сварщик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каменщик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плотник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разнорабочие не менее 10 человек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(Закупочная процедура №0373200026420000254)</w:t>
      </w:r>
    </w:p>
    <w:p>
      <w:pPr>
        <w:pStyle w:val="Style5"/>
        <w:numPr>
          <w:ilvl w:val="0"/>
          <w:numId w:val="3"/>
        </w:numPr>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 xml:space="preserve"> производитель работ (прораб и/или мастер и /или инженер)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штукатур-маляр не менее 10 человек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-монтажник сантехнических систем и оборудования не менее 3 человек</w:t>
      </w:r>
    </w:p>
    <w:p>
      <w:pPr>
        <w:pStyle w:val="Style5"/>
        <w:numPr>
          <w:ilvl w:val="0"/>
          <w:numId w:val="3"/>
        </w:numPr>
        <w:widowControl w:val="0"/>
        <w:keepNext w:val="0"/>
        <w:keepLines w:val="0"/>
        <w:shd w:val="clear" w:color="auto" w:fill="auto"/>
        <w:bidi w:val="0"/>
        <w:jc w:val="left"/>
        <w:spacing w:before="0" w:after="0" w:line="322" w:lineRule="exact"/>
        <w:ind w:left="560" w:right="5880" w:firstLine="0"/>
      </w:pPr>
      <w:r>
        <w:rPr>
          <w:lang w:val="ru-RU" w:eastAsia="ru-RU" w:bidi="ru-RU"/>
          <w:w w:val="100"/>
          <w:spacing w:val="0"/>
          <w:color w:val="000000"/>
          <w:position w:val="0"/>
        </w:rPr>
        <w:t xml:space="preserve"> плиточник не менее 2 человек -паркетчик не менее 2 человек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-монтажник гипсокартонных конструкций - не менее 2 человек</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электромонтажник не менее 2 человек</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-сварщик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плотник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Пропитчик по огнезащитной пропитке не ниже 2 разряда- не менее 1 человека</w:t>
      </w:r>
    </w:p>
    <w:p>
      <w:pPr>
        <w:pStyle w:val="Style5"/>
        <w:numPr>
          <w:ilvl w:val="0"/>
          <w:numId w:val="3"/>
        </w:numPr>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 xml:space="preserve"> разнорабочие не менее 5 человек</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Не согласившись с доводом жалоб представитель Заказчика пояснил, что конкурсной документацией установлено минимальное количество работников, требуемых для выполнения работ. Минимальное количество и виды профессий определены согласно сметному расчету, исходя из необходимых человеко-часов и видов работ. Отсутствие у участника закупки сотрудника соответствующей профессии может привести к некачественному или невозможности выполнения работ по контракту, ввиду чего участник закупки по вышеуказанному параметру будет оценен в 0 балов.</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Управления отмечает, что целью установления порядка оценки является действительное выявление более квалифицированного исполнителя, позволяющее конкурсной комиссии Заказчика выявить лучшие предложения исполнения государственного контракта.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Кроме того в составе жалоб Заявитель указывает на не понятное, по мнению Заявителя, присвоение максимального количества баллов по показателю «Обеспеченность участника закупки трудовыми ресурсами», поскольку согласно формуле максимальное количество балов присуждается участнику закупки, предложившему «максимальное предложение» из предложенных участниками закупки, при этом порядком оценки не описано значение такого максимального предложения.</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Одновременно с этим представитель Заказчика пояснил, что показатель «Обеспеченность участника закупки трудовыми ресурсами»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применяется Заказчиком на основании п.23 Правил, поскольку для заказчика лу</w:t>
      </w:r>
      <w:r>
        <w:rPr>
          <w:rStyle w:val="CharStyle9"/>
        </w:rPr>
        <w:t>чши</w:t>
      </w:r>
      <w:r>
        <w:rPr>
          <w:lang w:val="ru-RU" w:eastAsia="ru-RU" w:bidi="ru-RU"/>
          <w:w w:val="100"/>
          <w:spacing w:val="0"/>
          <w:color w:val="000000"/>
          <w:position w:val="0"/>
        </w:rPr>
        <w:t>м условием исполнения контракта по данному показателю является количество сотрудников, ввиду чего количество баллов, присуждаемых по показателю оценки (НЦБ1), определяется по формуле: НЦБ1 = КЗ х 100 х (К1 / Ктах), где:</w:t>
      </w:r>
    </w:p>
    <w:p>
      <w:pPr>
        <w:pStyle w:val="Style5"/>
        <w:widowControl w:val="0"/>
        <w:keepNext w:val="0"/>
        <w:keepLines w:val="0"/>
        <w:shd w:val="clear" w:color="auto" w:fill="auto"/>
        <w:bidi w:val="0"/>
        <w:jc w:val="both"/>
        <w:spacing w:before="0" w:after="0" w:line="322" w:lineRule="exact"/>
        <w:ind w:left="0" w:right="0" w:firstLine="54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0" w:right="0" w:firstLine="540"/>
      </w:pPr>
      <w:r>
        <w:rPr>
          <w:lang w:val="ru-RU" w:eastAsia="ru-RU" w:bidi="ru-RU"/>
          <w:w w:val="100"/>
          <w:spacing w:val="0"/>
          <w:color w:val="000000"/>
          <w:position w:val="0"/>
        </w:rPr>
        <w:t>В случае если используется один показатель, КЗ = 1;</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Также в составе жалобы Заявитель указывает на наличие в закупочной процедуре №0373200026420000240 дублирующих положений конкурсной документации, и порядка оценки, условия которого препятствует подачи заявки. Так, например, согласно положениям технического задания, на условия которого участники закупки выражают согласие при подаче заявки на участие в конкурсе, установлено требование, что подрядчик обязан обеспечить выполнение работ на высоте, работниками, имеющими квалификацию, соответствующую характеру выполняемых работ. Уровень квалификации подтверждается документом о профессиональном образовании (обучении) и (или) о квалификации. Таким образом требование о квалификации сотрудников установлено как в положениях технического задания, так и по показателю «Обеспеченность участника закупки трудовыми ресурсами»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Вместе с тем Комиссия Управления отмечает, что положения порядка оценки по вышеуказанному показателю направлены на выявления лучшего предложения в части количества сотрудников соответствующих профессий, тогда как положением технического задания установлен сам факт необходимости привлечения</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специализированных сотрудников.</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в ходе заседания Комиссии Управления, а так же в составе жалоб Заявителем не представлено документов и сведений, свидетельствующих о нарушении Заказчиком норм действующего законодательства, а именно, Заявителем не представлено документов и сведений однозначно свидетельствующих о том, что установленный порядок оценки является неправомерным, не позволяет выявить наилучшее предложение условий исполнения контрактов при проведении закупок, оставляет оценку заявок на субъективное усмотрение конкурсной комиссии Заказчика или каким-либо иным образом нарушает требования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Таким образом, Комиссия Управления приходит к выводу о том, что указанные доводы жалоб не нашли своего подтверждения и являются необоснованными.</w:t>
      </w:r>
    </w:p>
    <w:p>
      <w:pPr>
        <w:pStyle w:val="Style5"/>
        <w:numPr>
          <w:ilvl w:val="0"/>
          <w:numId w:val="1"/>
        </w:numPr>
        <w:tabs>
          <w:tab w:leader="none" w:pos="951" w:val="left"/>
        </w:tabs>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Согласно доводам жалоб Заказчиком утвержден неправомерный порядок оценки по показателю «Опыт участника по успешному выполнению работ сопоставимого характера»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Конкурсной документацией предусмотрен следующий порядок оценки по показателю «Опыт участника по успешному выполнению работ сопоставимого характера»:</w:t>
      </w:r>
    </w:p>
    <w:p>
      <w:pPr>
        <w:pStyle w:val="Style5"/>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«Максимальное количество баллов - 100 баллов.</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Заказчиком оценивается предложение участника об объемах (оценивается суммарный объем выполненных работ сопоставимого характера, исчисляемый в рублях) успешно исполненных участником государственных и/или муниципальных контрактов и/или гражданско-правовых договоров, заключенных по результатам проведенных торгов/закупок в соответствии с Федеральными законами от 05.04.2013 № 44-ФЗ, от 18.07.2011 № 223-ФЗ, сопоставимого характера и объема за последний календарный год, предшествующий дате окончания подачи заявок на участие в настоящей закупке.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Опыт участника по успешному выполнению работ сопоставимого характера и объема подтверждается следующими документами:</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по исполненным государственным контрактам, заключенным в соответствии с Федеральным законом № 44-ФЗ - реестром исполненных контрактов, в соответствии с прилагаемой рекомендуемой формой </w:t>
      </w:r>
      <w:r>
        <w:rPr>
          <w:rStyle w:val="CharStyle16"/>
        </w:rPr>
        <w:t>«Сводные сведения о наличии опыта участника закупки по успешной поставке товара, выполнению работ, оказанию услуг сопоставимого характера и объема»</w:t>
      </w:r>
      <w:r>
        <w:rPr>
          <w:lang w:val="ru-RU" w:eastAsia="ru-RU" w:bidi="ru-RU"/>
          <w:w w:val="100"/>
          <w:spacing w:val="0"/>
          <w:color w:val="000000"/>
          <w:position w:val="0"/>
        </w:rPr>
        <w:t>, содержащей данные о реестровом номере закупки, номере контракта, дате заключения, предмете, сумме контракта, дате исполнения контракта.</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по исполненным договорам, заключенным участником закупки в соответствии с Федеральным законом № 223-ФЗ - наличием информации о таких договорах в Реестре договоров в ЕИС, заключенных заказчиками по результатам закупок в рамках Закона о закупках товаров, работ, услуг № 223-ФЗ, копиями указанных договоров и актов сдачи-приемки оказанных услуг</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Копии указанных документов должны быть представлены в полном объеме со всеми приложениями, являющимися их неотъемлемой частью.</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представленные документы должны быть в виде неповторяющихся, полночитаемых копий, на которых видны необходимые сведения, позволяющие определить стороны контракта, дату заключения контракта, предмет контракта, стоимость контракта, подписи и печати.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Представленные участником закупки контракты, исполнение которых не подтверждено документально, не учитываются при оценке.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Датой исполнения контракта считается дата акта приемки работ или итогового акта приемки работ, подтверждающего приемку работ по исполнению контракта.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Под успешным выполнением работ понимается исполнение участником закупки контрактов в соответствии с условиями, установленными в контрактах, без применения к такому участнику неустоек (штрафов, пеней). Заказчик, уполномоченный орган вправе запросить у соответствующих органов и организаций информацию об успешном выполнении работ по исполнению участником закупки контракта без применения к такому участнику неустоек (штрафов, пеней).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Под работами сопоставимого характера и объема понимаются работы по текущему, капитальному ремонту фасадов, помещений объектов капитального строительства, объектов жилищно-гражданского назначения, стоимость которых по одному контракту составляет не менее двух миллионов рублей.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Непредоставление в составе второй части заявки на участие в открытом конкурсе в электронной форме таких документов не является основанием для отказа в допуске к участию в процедуре, однако при оценке заявок по настоящему показателю комиссией будут учитываться сведения, заявленные участниками закупки, которые подтверждены документально в составе второй части заявки на участие в конкурсе либо информацией, размещенной на сайте Единой информационной системы в сфере закупок </w:t>
      </w:r>
      <w:r>
        <w:rPr>
          <w:lang w:val="en-US" w:eastAsia="en-US" w:bidi="en-US"/>
          <w:w w:val="100"/>
          <w:spacing w:val="0"/>
          <w:color w:val="000000"/>
          <w:position w:val="0"/>
        </w:rPr>
        <w:t>zakupki.gov.ru.</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Порядок оценки заявок по показателю</w:t>
      </w:r>
      <w:r>
        <w:rPr>
          <w:rStyle w:val="CharStyle17"/>
          <w:b w:val="0"/>
          <w:bCs w:val="0"/>
        </w:rPr>
        <w:t>:</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Количество баллов, присуждаемых по показателю (НЦБД, определяется по формуле:</w:t>
      </w:r>
    </w:p>
    <w:p>
      <w:pPr>
        <w:pStyle w:val="Style5"/>
        <w:tabs>
          <w:tab w:leader="none" w:pos="1042" w:val="left"/>
        </w:tabs>
        <w:widowControl w:val="0"/>
        <w:keepNext w:val="0"/>
        <w:keepLines w:val="0"/>
        <w:shd w:val="clear" w:color="auto" w:fill="auto"/>
        <w:bidi w:val="0"/>
        <w:jc w:val="left"/>
        <w:spacing w:before="0" w:after="0" w:line="322" w:lineRule="exact"/>
        <w:ind w:left="700" w:right="5860" w:firstLine="0"/>
      </w:pPr>
      <w:r>
        <w:rPr>
          <w:lang w:val="ru-RU" w:eastAsia="ru-RU" w:bidi="ru-RU"/>
          <w:w w:val="100"/>
          <w:spacing w:val="0"/>
          <w:color w:val="000000"/>
          <w:position w:val="0"/>
        </w:rPr>
        <w:t>а)</w:t>
        <w:tab/>
        <w:t>в случае если Ктах &lt;Кпред, где:</w:t>
      </w:r>
    </w:p>
    <w:p>
      <w:pPr>
        <w:pStyle w:val="Style5"/>
        <w:widowControl w:val="0"/>
        <w:keepNext w:val="0"/>
        <w:keepLines w:val="0"/>
        <w:shd w:val="clear" w:color="auto" w:fill="auto"/>
        <w:bidi w:val="0"/>
        <w:jc w:val="both"/>
        <w:spacing w:before="0" w:after="0" w:line="260" w:lineRule="exact"/>
        <w:ind w:left="20" w:right="0" w:firstLine="680"/>
      </w:pPr>
      <w:r>
        <w:rPr>
          <w:lang w:val="ru-RU" w:eastAsia="ru-RU" w:bidi="ru-RU"/>
          <w:w w:val="100"/>
          <w:spacing w:val="0"/>
          <w:color w:val="000000"/>
          <w:position w:val="0"/>
        </w:rPr>
        <w:t>НЦБ</w:t>
      </w:r>
      <w:r>
        <w:rPr>
          <w:rStyle w:val="CharStyle15"/>
        </w:rPr>
        <w:t>1</w:t>
      </w:r>
      <w:r>
        <w:rPr>
          <w:lang w:val="ru-RU" w:eastAsia="ru-RU" w:bidi="ru-RU"/>
          <w:w w:val="100"/>
          <w:spacing w:val="0"/>
          <w:color w:val="000000"/>
          <w:position w:val="0"/>
        </w:rPr>
        <w:t>' = КЗ х 100 х (К / Ктах);</w:t>
      </w:r>
    </w:p>
    <w:p>
      <w:pPr>
        <w:pStyle w:val="Style5"/>
        <w:widowControl w:val="0"/>
        <w:keepNext w:val="0"/>
        <w:keepLines w:val="0"/>
        <w:shd w:val="clear" w:color="auto" w:fill="auto"/>
        <w:bidi w:val="0"/>
        <w:jc w:val="both"/>
        <w:spacing w:before="0" w:after="313" w:line="260" w:lineRule="exact"/>
        <w:ind w:left="20" w:right="0" w:firstLine="68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680"/>
      </w:pPr>
      <w:r>
        <w:rPr>
          <w:lang w:val="en-US" w:eastAsia="en-US" w:bidi="en-US"/>
          <w:w w:val="100"/>
          <w:spacing w:val="0"/>
          <w:color w:val="000000"/>
          <w:position w:val="0"/>
        </w:rPr>
        <w:t xml:space="preserve">Кi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5"/>
        <w:tabs>
          <w:tab w:leader="none" w:pos="1079" w:val="lef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б)</w:t>
        <w:tab/>
        <w:t>в случае если Ктах &gt; Кпред,</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при этом </w:t>
      </w:r>
      <w:r>
        <w:rPr>
          <w:rStyle w:val="CharStyle9"/>
        </w:rPr>
        <w:t>НЦБ</w:t>
      </w:r>
      <w:r>
        <w:rPr>
          <w:lang w:val="ru-RU" w:eastAsia="ru-RU" w:bidi="ru-RU"/>
          <w:w w:val="100"/>
          <w:spacing w:val="0"/>
          <w:color w:val="000000"/>
          <w:position w:val="0"/>
        </w:rPr>
        <w:t>тах = КЗ х 100</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где: </w:t>
      </w:r>
      <w:r>
        <w:rPr>
          <w:rStyle w:val="CharStyle9"/>
        </w:rPr>
        <w:t>НЦБ</w:t>
      </w:r>
      <w:r>
        <w:rPr>
          <w:rStyle w:val="CharStyle15"/>
        </w:rPr>
        <w:t>1</w:t>
      </w:r>
      <w:r>
        <w:rPr>
          <w:lang w:val="ru-RU" w:eastAsia="ru-RU" w:bidi="ru-RU"/>
          <w:w w:val="100"/>
          <w:spacing w:val="0"/>
          <w:color w:val="000000"/>
          <w:position w:val="0"/>
        </w:rPr>
        <w:t>' = КЗ х 100 х (К / Кпред);</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КЗ - коэффициент значимости показателя.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Ктах - максимальное предложение из предложений по критерию оценки, сделанных участниками закупки;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Кпред - предельно необходимое заказчику значение характеристик равное 4 (четыре) миллиона рублей;</w:t>
      </w:r>
    </w:p>
    <w:p>
      <w:pPr>
        <w:pStyle w:val="Style5"/>
        <w:widowControl w:val="0"/>
        <w:keepNext w:val="0"/>
        <w:keepLines w:val="0"/>
        <w:shd w:val="clear" w:color="auto" w:fill="auto"/>
        <w:bidi w:val="0"/>
        <w:jc w:val="both"/>
        <w:spacing w:before="0" w:after="0" w:line="322" w:lineRule="exact"/>
        <w:ind w:left="20" w:right="20" w:firstLine="680"/>
      </w:pPr>
      <w:r>
        <w:rPr>
          <w:rStyle w:val="CharStyle9"/>
        </w:rPr>
        <w:t>НЦБ</w:t>
      </w:r>
      <w:r>
        <w:rPr>
          <w:lang w:val="ru-RU" w:eastAsia="ru-RU" w:bidi="ru-RU"/>
          <w:w w:val="100"/>
          <w:spacing w:val="0"/>
          <w:color w:val="000000"/>
          <w:position w:val="0"/>
        </w:rPr>
        <w:t>тах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Оценка в 0 баллов по показателю будет присвоена:</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участнику конкурса, который не имеет опыта сопоставимого характера и объема;</w:t>
      </w:r>
    </w:p>
    <w:p>
      <w:pPr>
        <w:pStyle w:val="Style5"/>
        <w:numPr>
          <w:ilvl w:val="0"/>
          <w:numId w:val="3"/>
        </w:numPr>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 xml:space="preserve"> участнику конкурса, который не предоставил в составе своей заявки</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Приложение 3 «Сводные сведения о наличии опыта по успешной поставке</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товара, выполнению работ, оказанию услуг сопоставимого характера и объема», либо представил Сводные сведения, содержащие не все требуемые данные, указанные в показателе (44-ФЗ);</w:t>
      </w:r>
    </w:p>
    <w:p>
      <w:pPr>
        <w:pStyle w:val="Style5"/>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участнику конкурса, который не представил в составе своей заявки документы (копии документов), подтверждающие сведения о наличии опыта по успешному оказанию услуг сопоставимого характера и объема за указанный в показателе период (223-ФЗ)».</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 мнению Заявителя, положения показателя «Опыт участника по успешному выполнению работ сопоставимого характера» содержат противоречивые условия оценки, а именно в части подтверждения опыта участника по успешному выполнению работ сопоставимого характера и объема по исполненным договорам, заключенным участником закупки в соответствии с Федеральным законом № 223- ФЗ. Так в качестве подтверждения опыта предусмотрено наличие информации о таких договорах в Реестре договоров в ЕИС, заключенных заказчиками по результатам закупок в рамках Закона о закупках товаров, работ, услуг № 223-ФЗ, при этом в конкурсной документации не описано в каком виде должна представляться информация о наличии сведений в ЕИС и должна ли такая информация предоставляться в составе заявки, например в виде ссылки или номера процедуры или же достаточно декларирования факта наличия такой информации в ЕИС. Согласно порядку оценки участники закупки вправе продекларировать такие сведения словом «наличие», при этом конкретизации реестровых записей в ЕИС в составе заявки не представить, что в силу вышеуказанного положения порядка оценки будет достаточным для подтверждения наличия соответствующего опыта, вместе с тем у конкурсной комиссией Заказчика не будет возможности проверки достоверности представленных в заявки сведений, поскольку номера реестровых записей договоров ЕИС и номера самих договоров могут различаться.</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на заседании Комиссии Управления представитель Заказчика затруднился обосновать необходимость установления порядка оценки по показателю «Опыт участника по успешному выполнению работ сопоставимого характера»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вышеуказанным образом.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п.8 ч.1 ст.54.3, ч.8 ст.32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Комиссия Управления также отмечает, что по закупочной процедуре №0373200026420000240 в нарушение положений п.8 ч.1 ст.54.3, ч.8 ст.32 Закона о контрактной системе Заказчиком по показателю «Опыт участника по успешному выполнению работ сопоставимого характера» установлено значение Кпред в размере 4 млн. руб., поскольку, как, например, участник закупки, который исполнил 3 контракта за весь непродолжительный период своей деятельности, например, на сумму 4 млн руб., поставлен в равные условия с тем участником закупки, который имеет опыт исполнения 20 соответствующих порядку оценки контрактов, например на сумму 100 млн руб.</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очевидно, что существо показателя опыта заключается в выявлении наиболее опытного участника закупки, однако установление предельного значения оцениваемого опыта ставит участников закупки на один уровень оценки опыта, что не отвечает цели применения самого показателя.</w:t>
      </w:r>
    </w:p>
    <w:p>
      <w:pPr>
        <w:pStyle w:val="Style5"/>
        <w:widowControl w:val="0"/>
        <w:keepNext w:val="0"/>
        <w:keepLines w:val="0"/>
        <w:shd w:val="clear" w:color="auto" w:fill="auto"/>
        <w:bidi w:val="0"/>
        <w:jc w:val="left"/>
        <w:spacing w:before="0" w:after="0" w:line="322" w:lineRule="exact"/>
        <w:ind w:left="20" w:right="20" w:firstLine="5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303" w:line="260" w:lineRule="exact"/>
        <w:ind w:left="4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Признать жалобы ООО «Медикал сервис» на действия ГБУЗ «Н</w:t>
      </w:r>
      <w:r>
        <w:rPr>
          <w:rStyle w:val="CharStyle9"/>
        </w:rPr>
        <w:t>ПЦ</w:t>
      </w:r>
      <w:r>
        <w:rPr>
          <w:lang w:val="ru-RU" w:eastAsia="ru-RU" w:bidi="ru-RU"/>
          <w:w w:val="100"/>
          <w:spacing w:val="0"/>
          <w:color w:val="000000"/>
          <w:position w:val="0"/>
        </w:rPr>
        <w:t xml:space="preserve"> ПЗДП им. Г.Е. Сухаревой ДЗМ» обоснованными в части установление порядка оценки в нарушение положений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Признать в действиях Заказчика нарушение п.8 ч.1 ст.54.3, ч.15 ст.54.4, ч.8 ст.32 Закона о контрактной системе.</w:t>
      </w:r>
    </w:p>
    <w:p>
      <w:pPr>
        <w:pStyle w:val="Style5"/>
        <w:numPr>
          <w:ilvl w:val="0"/>
          <w:numId w:val="5"/>
        </w:numPr>
        <w:widowControl w:val="0"/>
        <w:keepNext w:val="0"/>
        <w:keepLines w:val="0"/>
        <w:shd w:val="clear" w:color="auto" w:fill="auto"/>
        <w:bidi w:val="0"/>
        <w:jc w:val="both"/>
        <w:spacing w:before="0" w:after="600" w:line="322" w:lineRule="exact"/>
        <w:ind w:left="20" w:right="40" w:firstLine="56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widowControl w:val="0"/>
        <w:keepNext w:val="0"/>
        <w:keepLines w:val="0"/>
        <w:shd w:val="clear" w:color="auto" w:fill="auto"/>
        <w:bidi w:val="0"/>
        <w:jc w:val="both"/>
        <w:spacing w:before="0" w:after="86" w:line="322" w:lineRule="exact"/>
        <w:ind w:left="20" w:right="40" w:firstLine="5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62" w:val="right"/>
          <w:tab w:leader="none" w:pos="10134" w:val="right"/>
        </w:tabs>
        <w:widowControl w:val="0"/>
        <w:keepNext w:val="0"/>
        <w:keepLines w:val="0"/>
        <w:shd w:val="clear" w:color="auto" w:fill="auto"/>
        <w:bidi w:val="0"/>
        <w:jc w:val="both"/>
        <w:spacing w:before="0" w:after="0" w:line="965"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785" w:val="left"/>
        </w:tabs>
        <w:widowControl w:val="0"/>
        <w:keepNext w:val="0"/>
        <w:keepLines w:val="0"/>
        <w:shd w:val="clear" w:color="auto" w:fill="auto"/>
        <w:bidi w:val="0"/>
        <w:jc w:val="both"/>
        <w:spacing w:before="0" w:after="0" w:line="965" w:lineRule="exact"/>
        <w:ind w:left="20" w:right="0" w:firstLine="0"/>
      </w:pPr>
      <w:r>
        <w:rPr>
          <w:lang w:val="ru-RU" w:eastAsia="ru-RU" w:bidi="ru-RU"/>
          <w:w w:val="100"/>
          <w:spacing w:val="0"/>
          <w:color w:val="000000"/>
          <w:position w:val="0"/>
        </w:rPr>
        <w:t>Члены Комиссии</w:t>
        <w:tab/>
        <w:t>Н.А. Узкий</w:t>
      </w:r>
    </w:p>
    <w:p>
      <w:pPr>
        <w:pStyle w:val="Style5"/>
        <w:widowControl w:val="0"/>
        <w:keepNext w:val="0"/>
        <w:keepLines w:val="0"/>
        <w:shd w:val="clear" w:color="auto" w:fill="auto"/>
        <w:bidi w:val="0"/>
        <w:jc w:val="right"/>
        <w:spacing w:before="0" w:after="5163" w:line="260" w:lineRule="exact"/>
        <w:ind w:left="0" w:right="40" w:firstLine="0"/>
      </w:pPr>
      <w:r>
        <w:rPr>
          <w:lang w:val="ru-RU" w:eastAsia="ru-RU" w:bidi="ru-RU"/>
          <w:w w:val="100"/>
          <w:spacing w:val="0"/>
          <w:color w:val="000000"/>
          <w:position w:val="0"/>
        </w:rPr>
        <w:t>А.З. Касимова</w:t>
      </w:r>
    </w:p>
    <w:p>
      <w:pPr>
        <w:pStyle w:val="Style18"/>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Н.А. Узкий 495-784-75-05 (доб. 121)</w:t>
      </w:r>
    </w:p>
    <w:sectPr>
      <w:footnotePr>
        <w:pos w:val="pageBottom"/>
        <w:numFmt w:val="decimal"/>
        <w:numRestart w:val="continuous"/>
      </w:footnotePr>
      <w:type w:val="continuous"/>
      <w:pgSz w:w="11906" w:h="16838"/>
      <w:pgMar w:top="1022" w:left="851" w:right="845" w:bottom="15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 (3) + Не курсив"/>
    <w:basedOn w:val="CharStyle13"/>
    <w:rPr>
      <w:lang w:val="ru-RU" w:eastAsia="ru-RU" w:bidi="ru-RU"/>
      <w:i/>
      <w:iCs/>
      <w:w w:val="100"/>
      <w:spacing w:val="0"/>
      <w:color w:val="000000"/>
      <w:position w:val="0"/>
    </w:rPr>
  </w:style>
  <w:style w:type="character" w:customStyle="1" w:styleId="CharStyle15">
    <w:name w:val="Основной текст + 8,5 pt"/>
    <w:basedOn w:val="CharStyle6"/>
    <w:rPr>
      <w:lang w:val="ru-RU" w:eastAsia="ru-RU" w:bidi="ru-RU"/>
      <w:sz w:val="17"/>
      <w:szCs w:val="17"/>
      <w:w w:val="100"/>
      <w:spacing w:val="0"/>
      <w:color w:val="000000"/>
      <w:position w:val="0"/>
    </w:rPr>
  </w:style>
  <w:style w:type="character" w:customStyle="1" w:styleId="CharStyle16">
    <w:name w:val="Основной текст + Полужирный"/>
    <w:basedOn w:val="CharStyle6"/>
    <w:rPr>
      <w:lang w:val="ru-RU" w:eastAsia="ru-RU" w:bidi="ru-RU"/>
      <w:b/>
      <w:bCs/>
      <w:w w:val="100"/>
      <w:spacing w:val="0"/>
      <w:color w:val="000000"/>
      <w:position w:val="0"/>
    </w:rPr>
  </w:style>
  <w:style w:type="character" w:customStyle="1" w:styleId="CharStyle17">
    <w:name w:val="Основной текст (2) + Не полужирный"/>
    <w:basedOn w:val="CharStyle8"/>
    <w:rPr>
      <w:lang w:val="ru-RU" w:eastAsia="ru-RU" w:bidi="ru-RU"/>
      <w:b/>
      <w:bCs/>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6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before="52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