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2300" w:right="0" w:firstLine="0"/>
      </w:pPr>
      <w:r>
        <w:rPr>
          <w:rStyle w:val="CharStyle8"/>
          <w:b/>
          <w:bCs/>
        </w:rPr>
        <w:t xml:space="preserve">Дело № 11 оз-21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029/06/64-88/2021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2280"/>
      </w:pPr>
      <w:r>
        <w:rPr>
          <w:rStyle w:val="CharStyle10"/>
          <w:b/>
          <w:bCs/>
        </w:rPr>
        <w:t>Заказчик:</w:t>
      </w:r>
    </w:p>
    <w:p>
      <w:pPr>
        <w:pStyle w:val="Style3"/>
        <w:framePr w:w="4208" w:h="1499" w:wrap="around" w:vAnchor="text" w:hAnchor="margin" w:x="479" w:y="411"/>
        <w:widowControl w:val="0"/>
        <w:keepNext w:val="0"/>
        <w:keepLines w:val="0"/>
        <w:shd w:val="clear" w:color="auto" w:fill="auto"/>
        <w:bidi w:val="0"/>
        <w:jc w:val="center"/>
        <w:spacing w:before="0" w:after="212"/>
        <w:ind w:left="8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208" w:h="1499" w:wrap="around" w:vAnchor="text" w:hAnchor="margin" w:x="479" w:y="411"/>
        <w:widowControl w:val="0"/>
        <w:keepNext w:val="0"/>
        <w:keepLines w:val="0"/>
        <w:shd w:val="clear" w:color="auto" w:fill="auto"/>
        <w:bidi w:val="0"/>
        <w:jc w:val="center"/>
        <w:spacing w:before="0" w:after="0" w:line="210" w:lineRule="exact"/>
        <w:ind w:left="80" w:right="0" w:firstLine="0"/>
      </w:pPr>
      <w:r>
        <w:rPr>
          <w:rStyle w:val="CharStyle6"/>
          <w:b/>
          <w:bCs/>
          <w:spacing w:val="0"/>
        </w:rPr>
        <w:t>УПРАВЛЕНИЕ</w:t>
      </w:r>
    </w:p>
    <w:p>
      <w:pPr>
        <w:pStyle w:val="Style3"/>
        <w:framePr w:w="4208" w:h="1499" w:wrap="around" w:vAnchor="text" w:hAnchor="margin" w:x="479" w:y="411"/>
        <w:widowControl w:val="0"/>
        <w:keepNext w:val="0"/>
        <w:keepLines w:val="0"/>
        <w:shd w:val="clear" w:color="auto" w:fill="auto"/>
        <w:bidi w:val="0"/>
        <w:jc w:val="center"/>
        <w:spacing w:before="0" w:after="0" w:line="254" w:lineRule="exact"/>
        <w:ind w:left="80" w:right="0" w:firstLine="0"/>
      </w:pPr>
      <w:r>
        <w:rPr>
          <w:rStyle w:val="CharStyle4"/>
          <w:b/>
          <w:bCs/>
          <w:spacing w:val="0"/>
        </w:rPr>
        <w:t>Федеральной антимонопольной службы по Архангельской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2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"Архангельская областная детская клиническая больница имени П.Г. Выжлецова"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8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 г, проспект Обводный канал, 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np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amosova@aodkb2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9.</w:t>
      </w:r>
      <w:r>
        <w:rPr>
          <w:lang w:val="en-US" w:eastAsia="en-US" w:bidi="en-US"/>
          <w:w w:val="100"/>
          <w:spacing w:val="0"/>
          <w:color w:val="000000"/>
          <w:position w:val="0"/>
        </w:rPr>
        <w:t>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/>
      </w:pPr>
      <w:r>
        <w:rPr>
          <w:rStyle w:val="CharStyle10"/>
          <w:b/>
          <w:bCs/>
        </w:rPr>
        <w:t>Уполномоченный орган: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/>
      </w:pPr>
      <w:r>
        <w:rPr>
          <w:rStyle w:val="CharStyle13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84"/>
        <w:ind w:left="5420" w:right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5420" w:right="0"/>
      </w:pPr>
      <w:r>
        <w:rPr>
          <w:rStyle w:val="CharStyle10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5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5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 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 w:firstLine="0"/>
      </w:pPr>
      <w:r>
        <w:rPr>
          <w:rStyle w:val="CharStyle10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«Тензор»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129301, г. Москва, ул. Бориса Галушкина, д. 17, пом. VII,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65"/>
        <w:ind w:left="54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4"/>
        </w:rPr>
        <w:instrText> HYPERLINK "mailto:info.tensor@vandex.ru" </w:instrText>
      </w:r>
      <w:r>
        <w:fldChar w:fldCharType="separate"/>
      </w:r>
      <w:r>
        <w:rPr>
          <w:rStyle w:val="Hyperlink"/>
        </w:rPr>
        <w:t>info.tensor@vandex.ru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420" w:right="0" w:firstLine="0"/>
      </w:pPr>
      <w:r>
        <w:rPr>
          <w:rStyle w:val="CharStyle10"/>
          <w:b/>
          <w:bCs/>
        </w:rPr>
        <w:t>Участник закупки: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«Динамическое развитие»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19"/>
        <w:ind w:left="54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195196, г. Санкт-Петербург, пр-кт Новочеркасский, д.47, корп.1, оф 28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"mailto:abdyl_ilyasov@mail.ru"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abdyl_ilyasov@mail.ru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victor. levitin@gmail .com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33" w:line="22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tabs>
          <w:tab w:leader="none" w:pos="8099" w:val="right"/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spacing w:before="0" w:after="94" w:line="220" w:lineRule="exact"/>
        <w:ind w:left="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февраля 2021 года</w:t>
        <w:tab/>
        <w:t>г.</w:t>
        <w:tab/>
        <w:t>Архангельск</w:t>
      </w:r>
    </w:p>
    <w:p>
      <w:pPr>
        <w:pStyle w:val="Style15"/>
        <w:tabs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</w:t>
        <w:tab/>
        <w:t xml:space="preserve">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ИА/27903/20 "О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6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8" w:line="220" w:lineRule="exact"/>
        <w:ind w:left="40" w:right="0" w:firstLine="680"/>
      </w:pPr>
      <w:r>
        <w:rPr>
          <w:rStyle w:val="CharStyle17"/>
          <w:b/>
          <w:bCs/>
        </w:rPr>
        <w:t>Председатель комиссии:</w:t>
      </w:r>
    </w:p>
    <w:p>
      <w:pPr>
        <w:pStyle w:val="Style15"/>
        <w:tabs>
          <w:tab w:leader="none" w:pos="5070" w:val="right"/>
          <w:tab w:leader="none" w:pos="95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</w:t>
        <w:tab/>
        <w:t>Управления - начальник отдела контроля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9" w:line="220" w:lineRule="exact"/>
        <w:ind w:left="40" w:right="0" w:firstLine="2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680"/>
      </w:pPr>
      <w:r>
        <w:rPr>
          <w:rStyle w:val="CharStyle17"/>
          <w:b/>
          <w:bCs/>
        </w:rPr>
        <w:t>Члены комиссии:</w:t>
      </w:r>
    </w:p>
    <w:p>
      <w:pPr>
        <w:pStyle w:val="Style15"/>
        <w:tabs>
          <w:tab w:leader="none" w:pos="50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Заместитель начальника отдела контроля закупок;</w:t>
      </w:r>
    </w:p>
    <w:p>
      <w:pPr>
        <w:pStyle w:val="Style15"/>
        <w:tabs>
          <w:tab w:leader="none" w:pos="22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специалист-эксперт отдела контроля закупок;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6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</w:t>
      </w: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720"/>
      </w:pPr>
      <w:r>
        <w:rPr>
          <w:rStyle w:val="CharStyle17"/>
          <w:b/>
          <w:bCs/>
        </w:rPr>
        <w:t>в присутствии представителей от: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rStyle w:val="CharStyle18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Ларионова С.А. (доверенность от 22.01.2021);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720"/>
      </w:pPr>
      <w:r>
        <w:rPr>
          <w:rStyle w:val="CharStyle18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Ялунера М.Г. (доверенность от 03.02.2021 №01-Д/21), Амосовой Н.П. (доверенность от 25.07.2019 №02-03/2897/1);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rStyle w:val="CharStyle18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Низовцева Д.Б. (доверенность от 16.06.2020 №56-Д);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72" w:line="274" w:lineRule="exact"/>
        <w:ind w:left="20" w:right="60" w:firstLine="720"/>
      </w:pPr>
      <w:r>
        <w:rPr>
          <w:rStyle w:val="CharStyle18"/>
        </w:rPr>
        <w:t xml:space="preserve">Участника закупки (ООО «Динамическое развитие»):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генерального директора Левитина В.А. (паспорт, ЕГРЮЛ), Ильясова А.М. (доверенность от 22.01.2021 №22/01).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4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91" w:line="259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января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«Тензор» (далее - Заявитель) на действия заказчика - ГБУЗ АО "Архангельская областная детская клиническая больница имени П.Г. Выжлецова" (далее - Заказчик), Уполномоченного органа - Контрактное агентство Архангельской области (далее - Уполномоченный орган) (далее - единая комиссия), при проведении электронного аукциона на право заключения контракта на поставку комплекса для многосуточного мониторирования ЭКГ и АД (извещение № 0124200000620008263).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20"/>
      </w:pPr>
      <w:r>
        <w:rPr>
          <w:rStyle w:val="CharStyle17"/>
          <w:b/>
          <w:bCs/>
        </w:rPr>
        <w:t>Содержание жалобы: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03.02.2021.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02.02.2021 №314-05-86.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 (ООО «Динамическое развитие») в адрес Архангельского УФАС России направил возражения по жалобе от 03.02.2021.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5"/>
        <w:tabs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5"/>
        <w:tabs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5"/>
        <w:tabs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5"/>
        <w:tabs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5"/>
        <w:tabs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5"/>
        <w:numPr>
          <w:ilvl w:val="0"/>
          <w:numId w:val="1"/>
        </w:numPr>
        <w:tabs>
          <w:tab w:leader="none" w:pos="21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№0124200000620008263 о проведении электронного аукциона и документация об электронном аукционе на право заключения контракта на поставку комплекса для многосуточного мониторирования ЭКГ и АД (далее - документация об аукционе).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- 880 220,00 рублей.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В своей жалобе Заявитель указывает, что в техническое задание документации об аукционе включены требования пункта 5.3 о пределе допускаемой абсолютной погрешности измерения давления - не более ± 1, о плавном спуске давления при измерении. АД, которым соответствуют исключительно регистраторы производства ООО «Инкарт», входящие в состав комплекса «Кардиотехника-07», чем искусственно ограничивается конкуренция.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ФЗ «О контрактной системе»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системе»,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смысла частей 1 и 2 статьи 33 ФЗ «О контрактной системе», потребности Заказчика являются определяющим фактором при установлении им соответствующих требований.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ФЗ «О контрактной системе» не содержит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ФЗ «О контрактной системе» не предусмотрено ограничений по включению в аукционную документацию требований к товару, являющихся значимыми для заказчика, которые отвечают его потребностям и необходимы для выполнения соответствующих государственных или муниципальных функций; не предусмотрена и обязанность заказчика обосновывать свои потребности при установлении требований к поставляемому товару. Более того, указание в документации конкретных характеристик поставляемого товара предусмотрено законодательством о закупках. Ограничивает усмотрение заказчика только требование о недопустимости ограничения конкуренции.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ФЗ «О контрактной системе»,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1 статьи 12 ФЗ «О контрактной системе»).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 5.3 части 1 раздела II «Сведения о товаре, на поставку которого осуществляется закупка, и об условиях контракта» документации об аукционе содержит описание объекта закупки, в том числе следующие характеристики: «Предел допускаемой абсолютной погрешности измерения давления, мм рт.ст. - не более ± 1», «характер спуска давления при измерении - плавный».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Архангельского УФАС России представитель Заказчика пояснил, что при установлении требований данной закупки Заказчик руководствовался, в том числе, требованиями профильного стандарта ГОСТ Р 56323-2014 «Изделия медицинские электрические. Системы Холтеровского мониторирования. Технические требования для государственных закупок» (далее - ГОСТ Р 56323-2014), и использовал рекомендованные (допускаемые) данным стандартом значения параметров. Точность (предел допустимой погрешности) измерения давления является основной характеристикой, определяющей качество системы мониторирования по каналу артериального давления АД. Предел допускаемой абсолютной погрешности (далее - ПДАП) измерения давления характеризует максимально допустимую погрешность при измерении давления. По смыслу данной характеристики уменьшение ПДАП улучшает качество и достоверность измерения артериального давления (АД) закупаемым прибором. Постановлением Правительства РФ от 16.11.2020 №1847 «Об утверждении перечня измерений, относящихся к сфере государственного регулирования обеспечения единства измерений» (далее -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Постановление, Приложение №1), которое было издано взамен, Приказа Министерства здравоохранения РФ от 21.02.2014 №81н, и ГОСТом 28703-90 «Приборы автоматические и полуавтоматические для косвенного измерения артериального давления. Общие технические требования и методы испытаний» (далее - ГОСТ 28703-90) установлены максимальное значение ПДАП, не ограничивая возможность Заказчика установить улучшенные требования к качеству товара, не противоречащие требованиям указанных Стандарта и Постановления. В частности, в Постановлении установлен «предел допускаемой погрешности ± 3 мм рт.ст.». По смыслу термина «предел допускаемой погрешности», меньшее значение погрешности (например, ± 1 мм рт.ст.), также допустимо, не противоречит требованиям Постановления и ГОСТ 28703-90. В пункте 6.2.3 ГОСТ Р 56323-2014 «Характеристики канала АД» характер спуска давления при измерении указан плавный или ступенчатый. При этом, некоторые системы использующие плавный спуск обеспечивают повышенную точность измерения давления.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представитель Заказчика в заседании Комиссии Архангельского УФАС России отметил, что необходимо учитывать специфику лечебного учреждения. ГБУЗ АО "Архангельская областная детская клиническая больница имени П.Г. Выжлецова" принимает пациентов в возрасте от 0 до 18 лет, и Заказчику необходим аппарат, который можно использовать при мониторировании артериального давления пациентов любого возраста.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официальных материалов производителей, информационных писем, технической и нормативной документации, следует, что есть как минимум, два производителя, являющихся отдельными юридическими, не аффилированными между собой, лицами - ООО «Инкарт», ООО «Ф-маркет», которые могут предложить комплекса для многосуточного мониторирования ЭКГ и АД с характеристиками, установленными в техническом задании.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довода Заявителя об установлении в документации об аукционе требования о наличии плавного спуска давления, Комиссия Архангельского УФАС России отмечает следующее.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ГОСТ Р 56323-2014 в пункте 1.3 Приложения Б указывает возможность установления требования: плавный спуск давления. Более того, Заявитель не обосновал, что ступенчатый спуск обеспечивает более высокую точность.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этим, в материалы дела представлено заключение Национального медицинского исследовательского центра им. В.А. Алмазова Министерства здравоохранения РФ, из которого следует, что ступенчатый спуск давления обладает рядом недостатков, которых лишен плавный спуск давления: «как правило, системы с плавным спуском имеют меньшую погрешность, чем системы со ступенчатым спуском, что обеспечивает большую достоверность определения САД и ДАД. Отсутствие переключений (щелчков) клапана обеспечивает комфортный режим прослушивания врачом. Именно плавный спуск давления наиболее соответствует процедуре определения АД по тонам Короткова. В системах холтеровского мониторирования и суточного мониторирования АД предпочтителен плавный спуск».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недостаткам ступенчатого способа относится необходимость для врача для каждого пациента подбирать оптимальную величину ступеньки спуска давления. Большая ступенька (быстрый спуск) увеличивает погрешность измерения (уменьшает точность), маленькая - затягивает время измерения. Увеличение времени измерения увеличивает количество бракованных измерений, доставляет дискомфорт пациенту и создает риск травмирования руки.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России, рассмотрев материалы дела и выслушав представителя Заказчика и представителя Заявителя, пришла к следующим выводам.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об аукционе не усматривает, что осуществление закупки производится среди производителей товара. В аукционе может участвовать неограниченное количество поставщиков. Участником закупки может выступать любое лицо, готовое поставить товар, отвечающий требованиям документации об аукционе и требованиям Заказчика. Объективные причины невозможности приобретения товара с требуемыми Заказчику характеристиками Заявителем не представлены.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включение в техническое задание требований к закупаемому товару о наличии вышеуказанной спорной характеристики в соответствии с потребностью Заказчика, не противоречит действующему законодательству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15"/>
        <w:numPr>
          <w:ilvl w:val="0"/>
          <w:numId w:val="3"/>
        </w:numPr>
        <w:tabs>
          <w:tab w:leader="none" w:pos="13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было подано четыре заявки, из которых следует, что участниками предложен товар «Кардиотехника-07», производства ООО «Инкарт», Комплекс «Кардиолинк», производства ООО «Ф-маркет».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материалов дела, на рынке РФ имеется не менее 2 (двух) производителей медицинского оборудования, которые соответствуют данному техническому заданию: «Кардиотехника-07», производства ООО «Инкарт», Комплекс «Кардиолинк», производства ООО «Ф-маркет».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20" w:right="1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факт ограничения количества участников закупки Комиссией Архангельского УФАС России не установлен.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4" w:line="278" w:lineRule="exact"/>
        <w:ind w:left="1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является необоснованным.</w:t>
      </w:r>
    </w:p>
    <w:p>
      <w:pPr>
        <w:pStyle w:val="Style21"/>
        <w:framePr w:w="9758" w:wrap="notBeside" w:vAnchor="text" w:hAnchor="text" w:xAlign="center" w:y="1"/>
        <w:tabs>
          <w:tab w:leader="underscore" w:pos="953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По мнению Заявителя, следующие пункты таблицы технического задания документации об аукционе противоречат ФЗ «О контрактной системе»:</w:t>
      </w:r>
      <w:r>
        <w:rPr>
          <w:rStyle w:val="CharStyle23"/>
          <w:lang w:val="ru-RU" w:eastAsia="ru-RU" w:bidi="ru-RU"/>
          <w:i w:val="0"/>
          <w:iCs w:val="0"/>
        </w:rPr>
        <w:tab/>
      </w:r>
    </w:p>
    <w:tbl>
      <w:tblPr>
        <w:tblOverlap w:val="never"/>
        <w:tblLayout w:type="fixed"/>
        <w:jc w:val="center"/>
      </w:tblPr>
      <w:tblGrid>
        <w:gridCol w:w="840"/>
        <w:gridCol w:w="6970"/>
        <w:gridCol w:w="1949"/>
      </w:tblGrid>
      <w:tr>
        <w:trPr>
          <w:trHeight w:val="9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5.1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12" w:lineRule="exact"/>
              <w:ind w:left="0" w:right="0" w:firstLine="0"/>
            </w:pPr>
            <w:r>
              <w:rPr>
                <w:rStyle w:val="CharStyle24"/>
              </w:rPr>
              <w:t>Режим суточного мониторирования АД с полной записью одного отведения ЭКГ с использованием трехэлектродного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4"/>
              </w:rPr>
              <w:t>Наличие</w:t>
            </w:r>
          </w:p>
        </w:tc>
      </w:tr>
      <w:tr>
        <w:trPr>
          <w:trHeight w:val="8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5.3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4" w:lineRule="exact"/>
              <w:ind w:left="0" w:right="0" w:firstLine="0"/>
            </w:pPr>
            <w:r>
              <w:rPr>
                <w:rStyle w:val="CharStyle24"/>
              </w:rPr>
              <w:t>Максимальное количество каналов измерения и регистрации электрокардиограммы в зависимости от типа подключенного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Не менее 12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4" w:lineRule="exact"/>
              <w:ind w:left="0" w:right="0" w:firstLine="0"/>
            </w:pPr>
            <w:r>
              <w:rPr>
                <w:rStyle w:val="CharStyle24"/>
              </w:rPr>
              <w:t>Кабель для подключения одноразовых ЭКГ электродов одно отведение 3-х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Не менее 2</w:t>
            </w:r>
          </w:p>
        </w:tc>
      </w:tr>
      <w:tr>
        <w:trPr>
          <w:trHeight w:val="56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75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4" w:lineRule="exact"/>
              <w:ind w:left="0" w:right="0" w:firstLine="0"/>
            </w:pPr>
            <w:r>
              <w:rPr>
                <w:rStyle w:val="CharStyle24"/>
              </w:rPr>
              <w:t>Кабель для подключения одноразовых электродов на 12 отведений; 10-электродный,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5"/>
              <w:framePr w:w="97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24"/>
              </w:rPr>
              <w:t>Не менее 2</w:t>
            </w:r>
          </w:p>
        </w:tc>
      </w:tr>
    </w:tbl>
    <w:p>
      <w:pPr>
        <w:pStyle w:val="Style21"/>
        <w:framePr w:w="975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такие характеристики имеют только регистраторы АД «Кардиотехника-07», что ограничивает конкуренцию.</w:t>
      </w:r>
    </w:p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249" w:after="0" w:line="274" w:lineRule="exact"/>
        <w:ind w:left="120" w:right="1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Архангельского УФАС России представитель Заказчика пояснил, что предметом закупки является поставка комбинированного регистратора ЭКГ и АД, обеспечивающего максимально регистрацию не менее 12-ти отведений ЭКГ для обеспечения методики комбинированного мониторирования ЭКГ и АД. Эта методика применяется для диагностики сочетанных патологий сердечно-сосудистой системы (ССС) путем детальной регистрации ЭКГ в совокупности с синхронной регистрацией артериального давления (АД). Для такой диагностики ЭКГ в 12-ти отведениях используются кабели с 10 электродами. Вместе с тем, для отдельных категорий пациентов требуется провести суточное мониторирование артериального давления (СМАД), например, при диагностике наличия/отсутствия артериальной гипертензии. Именно для такого случая, в документации установлено требование режима суточного мониторирования АД с полной записью одного отведения ЭКГ с использованием трехэлектродного кабеля пациента. В методике СМАД пациенту основной целью является суточная регистрация АД, регистрация ЭКГ является вспомогательной полезной функцией, которая повышает качество и достоверность измерения АД. Канал ЭКГ существенно снижает количество бракованных измерений, особенно у пациентов с нарушениями сердечного ритма, которых достаточно много среди гипертоников. Для достижения этой цели достаточно регистрировать одно отведение ЭКГ с использованием самого простого и дешевого кабеля с тремя ЭКГ электродами. В данном случае не происходит полноценное исследования ЭКГ с целью определения аритмий, нарушений сердечного ритма и других сердечных патологий. Поэтому в режиме СМАД нецелесообразно использовать кабели с большим количеством электродов, чем 3, поскольку это в несколько раз увеличивает количество требуемых расходных материалов (одноразовых электродов). Процедура суточного мониторирования АД и ЭКГ сама по себе является достаточно неприятной для пациента, в том числе, одноразовые электроды могут вызывать аллергические реакции. Поэтому уменьшение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числа необходимых ЭКГ электродов также повышает комфортность обследования СМАД. В соответствии с потребностью выполнения СМАД Заказчик установил требование наличия экономичного режима СМАД с полной записью 1 отведения ЭКГ с использованием 3-х электродного кабеля, что достаточно для выполнения СМАД. При этом достигается существенная экономия ЭКГ электродов - нужно три вместо десяти.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материалы дела, Комиссия Архангельского УФАС России отмечает следующее.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своей сути комбинированный регистратор ЭКГ и АД может работать в режиме суточного мониторирования АД с полной записью одного отведения ЭКГ с использованием трехэлектродного кабеля пациента.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например, согласно таблице 1 ТУ 9442-001-86580521-2014 регистраторы КР-03, КР-04, КР-05, КР-06 Комплекса «Медиком-комби» (способны регистрировать ЭКГ по 1-3-м (одному-трем), по 1-12-ти (одному-двенадцати) отведениям в зависимости от кабеля.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этого, в пункте 1.1 таблицы Приложения Б1 ГОСТ Р 56323-2014 дана возможность указывать количество каналов (отведений) ЭКГ от одного до двенадцати.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регистрация ЭКГ не является основной функцией, а основной задачей является измерение АД отсутствует необходимость приобретать медицинское изделие с большим количеством отведений ЭКГ. Такое медицинское оборудование будет дороже, как в приобретении, так и в эксплуатации.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например, на каждого пациента вместо трех электродов придется расходовать семь или десять электродов. Вместе с этим, пациентам будет доставлено дополнительное неудобство поскольку электроды прикрепляются на тело и находятся на нем в течении длительного времени (не менее 24 часов).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кабель для подключения одноразовых ЭКГ- электродов в одно отведение 3-х электродный, является технически и методически корректным и обеспечивает достоверный и стабильный режим СМАД с одновременной экономией ЭКГ электродов.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о том, что лишь медицинское изделие одного производителя Комплекса «Кардиотехника-07» отвечает вышеуказанным характеристикам, недостоверен в связи с тем, что при анализе первых частей заявок четырех участников закупки Комиссией Архангельского УФАС России выявлено следующее.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5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с номером заявки 197 предложен комплекс для многосуточного мониторирования физиологических параметров «Кардиолинк» с характеристиками:</w:t>
      </w:r>
    </w:p>
    <w:tbl>
      <w:tblPr>
        <w:tblOverlap w:val="never"/>
        <w:tblLayout w:type="fixed"/>
        <w:jc w:val="center"/>
      </w:tblPr>
      <w:tblGrid>
        <w:gridCol w:w="730"/>
        <w:gridCol w:w="7406"/>
        <w:gridCol w:w="1133"/>
        <w:gridCol w:w="298"/>
      </w:tblGrid>
      <w:tr>
        <w:trPr>
          <w:trHeight w:val="5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88" w:lineRule="exact"/>
              <w:ind w:left="0" w:right="0" w:firstLine="0"/>
            </w:pPr>
            <w:r>
              <w:rPr>
                <w:rStyle w:val="CharStyle25"/>
              </w:rPr>
              <w:t>Режим суточного мониторирования АД с полной записью одного отведения ЭКГ с использованием трехэлектродного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Наличие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5"/>
              </w:rPr>
              <w:t>Максимальное количество каналов измерения и регистрации электрокардиограммы в зависимости от типа подключенного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12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ЭКГ электродов одно отведение 3-х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4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электродов на 12 отведений; 10-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5"/>
              <w:framePr w:w="95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5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60" w:lineRule="exact"/>
        <w:rPr>
          <w:sz w:val="2"/>
          <w:szCs w:val="2"/>
        </w:rPr>
      </w:pPr>
    </w:p>
    <w:p>
      <w:pPr>
        <w:pStyle w:val="Style26"/>
        <w:framePr w:w="9571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с номером заявки 223 предложен комплекс для многосуточного мониторирования ЭКГ (по Холтеру) и АД «Кардиотехника-07» с характеристиками:</w:t>
      </w:r>
    </w:p>
    <w:tbl>
      <w:tblPr>
        <w:tblOverlap w:val="never"/>
        <w:tblLayout w:type="fixed"/>
        <w:jc w:val="center"/>
      </w:tblPr>
      <w:tblGrid>
        <w:gridCol w:w="730"/>
        <w:gridCol w:w="7411"/>
        <w:gridCol w:w="1142"/>
        <w:gridCol w:w="288"/>
      </w:tblGrid>
      <w:tr>
        <w:trPr>
          <w:trHeight w:val="5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5.3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93" w:lineRule="exact"/>
              <w:ind w:left="0" w:right="0" w:firstLine="0"/>
            </w:pPr>
            <w:r>
              <w:rPr>
                <w:rStyle w:val="CharStyle25"/>
              </w:rPr>
              <w:t>Режим суточного мониторирования АД с полной записью одного отведения ЭКГ с использованием трехэлектродного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Наличие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7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5.1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5"/>
              </w:rPr>
              <w:t>Максимальное количество каналов измерения и регистрации электрокардиограммы в зависимости от типа подключенного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12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7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ЭРГ электродов одно отведение 3-х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7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57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электродов на 12 отведений; 10-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5"/>
              <w:framePr w:w="957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57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13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с номером заявки 191 предложен комплекс для многосуточного мониторирования физиологических параметров «Кардиолинк» с характеристиками:</w:t>
      </w:r>
    </w:p>
    <w:tbl>
      <w:tblPr>
        <w:tblOverlap w:val="never"/>
        <w:tblLayout w:type="fixed"/>
        <w:jc w:val="center"/>
      </w:tblPr>
      <w:tblGrid>
        <w:gridCol w:w="734"/>
        <w:gridCol w:w="7392"/>
        <w:gridCol w:w="1421"/>
      </w:tblGrid>
      <w:tr>
        <w:trPr>
          <w:trHeight w:val="6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88" w:lineRule="exact"/>
              <w:ind w:left="0" w:right="0" w:firstLine="0"/>
            </w:pPr>
            <w:r>
              <w:rPr>
                <w:rStyle w:val="CharStyle25"/>
              </w:rPr>
              <w:t>Реасим суточного мониторирования АД с полной записью одного отведения ЭКГ с использованием трехэлектродного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Наличие</w:t>
            </w:r>
          </w:p>
        </w:tc>
      </w:tr>
      <w:tr>
        <w:trPr>
          <w:trHeight w:val="7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25"/>
              </w:rPr>
              <w:t>Максимальное количество каналов измерения и регистрации электрокардиограммы в зависимости от типа подключенного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12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5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ЭКГ электродов одно отведение 3-х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</w:tr>
      <w:tr>
        <w:trPr>
          <w:trHeight w:val="52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54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электродов на 12 отведений; 10-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</w:tr>
    </w:tbl>
    <w:p>
      <w:pPr>
        <w:widowControl w:val="0"/>
        <w:spacing w:line="60" w:lineRule="exact"/>
        <w:rPr>
          <w:sz w:val="2"/>
          <w:szCs w:val="2"/>
        </w:rPr>
      </w:pPr>
    </w:p>
    <w:p>
      <w:pPr>
        <w:pStyle w:val="Style26"/>
        <w:framePr w:w="9547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с номером заявки 221 предложен комплекс для многосуточного мониторирования ЭКГ и АД «Кардиотехника-07-АД-3» с характеристиками:</w:t>
      </w:r>
    </w:p>
    <w:tbl>
      <w:tblPr>
        <w:tblOverlap w:val="never"/>
        <w:tblLayout w:type="fixed"/>
        <w:jc w:val="center"/>
      </w:tblPr>
      <w:tblGrid>
        <w:gridCol w:w="739"/>
        <w:gridCol w:w="7387"/>
        <w:gridCol w:w="1421"/>
      </w:tblGrid>
      <w:tr>
        <w:trPr>
          <w:trHeight w:val="6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5.3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93" w:lineRule="exact"/>
              <w:ind w:left="0" w:right="0" w:firstLine="0"/>
            </w:pPr>
            <w:r>
              <w:rPr>
                <w:rStyle w:val="CharStyle25"/>
              </w:rPr>
              <w:t>Режим суточного мониторирования АД с полной записью одного отведения ЭКГ с использованием трехэлектродного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Наличие</w:t>
            </w:r>
          </w:p>
        </w:tc>
      </w:tr>
      <w:tr>
        <w:trPr>
          <w:trHeight w:val="7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5.1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25"/>
              </w:rPr>
              <w:t>Максимальное количество каналов измерения и регистрации электрокардиограммы в зависимости от типа подключенного кабеля пациента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12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ЭКГ электродов одно отведение 3-х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</w:tr>
      <w:tr>
        <w:trPr>
          <w:trHeight w:val="52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54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25"/>
              </w:rPr>
              <w:t>Кабель для подключения одноразовых электродов на 12 отведений; 10- электродный,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5"/>
              <w:framePr w:w="954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5"/>
              </w:rPr>
              <w:t>2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14" w:after="0" w:line="274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при формировании описания объекта закупки и обосновании начальной (максимальной) цены контракта на поставку регистраторов амбулаторных для длительного мониторинга артериального давления Заказчик, будучи участником гражданских правоотношений, добросовестно исходил из наличия на момент проведения закупки на рынке предложений о поставке оборудования (различных моделей) как минимум двух производителей, характеристики которого соответствуют описанию объекта закупки.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не усматривает в действиях Заказчика нарушения требований ФЗ «О контрактной системе», факт ограничения количества участников закупки не установлен.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6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Заявители является необоснованным.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68" w:line="278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79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8" w:line="22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151" w:line="22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«Тензор» необоснованной.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87"/>
        <w:ind w:left="40" w:right="60" w:firstLine="0"/>
      </w:pPr>
      <w:r>
        <w:rPr>
          <w:rStyle w:val="CharStyle30"/>
          <w:i/>
          <w:iCs/>
        </w:rPr>
        <w:t>Примечание.</w:t>
      </w:r>
      <w:r>
        <w:rPr>
          <w:rStyle w:val="CharStyle31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547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КомиссииИ.Ю. Короткова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547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КомиссииО.С. Малышева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atLeast"/>
        <w:ind w:left="0" w:right="60" w:firstLine="0"/>
      </w:pPr>
      <w:r>
        <w:rPr>
          <w:rStyle w:val="CharStyle32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А.А. Толстова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88" w:left="1081" w:right="1009" w:bottom="5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4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9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7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 + 10 pt"/>
    <w:basedOn w:val="CharStyle7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3">
    <w:name w:val="Основной текст (4) + 8 pt,Полужирный,Интервал 0 pt"/>
    <w:basedOn w:val="CharStyle12"/>
    <w:rPr>
      <w:lang w:val="ru-RU" w:eastAsia="ru-RU" w:bidi="ru-RU"/>
      <w:b/>
      <w:bCs/>
      <w:sz w:val="16"/>
      <w:szCs w:val="16"/>
      <w:w w:val="100"/>
      <w:spacing w:val="10"/>
      <w:color w:val="000000"/>
      <w:position w:val="0"/>
    </w:rPr>
  </w:style>
  <w:style w:type="character" w:customStyle="1" w:styleId="CharStyle14">
    <w:name w:val="Основной текст (4)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7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Подпись к таблице (2)_"/>
    <w:basedOn w:val="DefaultParagraphFont"/>
    <w:link w:val="Style21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Подпись к таблице (2) + Не курсив"/>
    <w:basedOn w:val="CharStyle22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24">
    <w:name w:val="Основной текст + Курсив"/>
    <w:basedOn w:val="CharStyle1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5">
    <w:name w:val="Основной текст + 10,5 pt,Курсив"/>
    <w:basedOn w:val="CharStyle16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27">
    <w:name w:val="Подпись к таблице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9">
    <w:name w:val="Основной текст (6)_"/>
    <w:basedOn w:val="DefaultParagraphFont"/>
    <w:link w:val="Style28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0">
    <w:name w:val="Основной текст (6) + Полужирный"/>
    <w:basedOn w:val="CharStyle29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 (6) + Полужирный"/>
    <w:basedOn w:val="CharStyle2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2">
    <w:name w:val="Основной текст (2) + 10 pt,Не полужирный"/>
    <w:basedOn w:val="CharStyle7"/>
    <w:rPr>
      <w:lang w:val="1024"/>
      <w:b/>
      <w:bCs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9"/>
    <w:pPr>
      <w:widowControl w:val="0"/>
      <w:shd w:val="clear" w:color="auto" w:fill="FFFFFF"/>
      <w:spacing w:before="180" w:line="250" w:lineRule="exact"/>
      <w:ind w:hanging="5400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7"/>
    <w:pPr>
      <w:widowControl w:val="0"/>
      <w:shd w:val="clear" w:color="auto" w:fill="FFFFFF"/>
      <w:jc w:val="both"/>
      <w:spacing w:after="180" w:line="25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after="180" w:line="250" w:lineRule="exact"/>
      <w:ind w:hanging="540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after="180"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before="240" w:after="240" w:line="274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1">
    <w:name w:val="Подпись к таблице (2)"/>
    <w:basedOn w:val="Normal"/>
    <w:link w:val="CharStyle22"/>
    <w:pPr>
      <w:widowControl w:val="0"/>
      <w:shd w:val="clear" w:color="auto" w:fill="FFFFFF"/>
      <w:spacing w:line="269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6">
    <w:name w:val="Подпись к таблице"/>
    <w:basedOn w:val="Normal"/>
    <w:link w:val="CharStyle27"/>
    <w:pPr>
      <w:widowControl w:val="0"/>
      <w:shd w:val="clear" w:color="auto" w:fill="FFFFFF"/>
      <w:spacing w:line="274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FFFFFF"/>
      <w:jc w:val="both"/>
      <w:spacing w:before="240" w:after="54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