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9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ГОХРАН России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3" w:line="326" w:lineRule="exact"/>
        <w:ind w:left="532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1812 г., д. 14, г. Москва, 121170, </w:t>
      </w:r>
      <w:r>
        <w:fldChar w:fldCharType="begin"/>
      </w:r>
      <w:r>
        <w:rPr>
          <w:color w:val="000000"/>
        </w:rPr>
        <w:instrText> HYPERLINK "mailto:sokolov@gokhran.ru"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sokolov@gokhran.ru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«Старт-2»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636" w:line="317" w:lineRule="exact"/>
        <w:ind w:left="532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Белогородская ул., д. 4 б, комн. 7, г. Самара, 443017, </w:t>
      </w:r>
      <w:r>
        <w:fldChar w:fldCharType="begin"/>
      </w:r>
      <w:r>
        <w:rPr>
          <w:color w:val="000000"/>
        </w:rPr>
        <w:instrText> HYPERLINK "mailto:89153341641@mail.ru"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89153341641@mail.ru</w:t>
      </w:r>
      <w:r>
        <w:fldChar w:fldCharType="end"/>
      </w:r>
    </w:p>
    <w:p>
      <w:pPr>
        <w:pStyle w:val="Style7"/>
        <w:tabs>
          <w:tab w:leader="none" w:pos="9106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077/06/106-1558/2021 о нарушении законодательства о контрактной системе 04.02.2021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1-го разряда отдела обжалования государственных закупок Е.О. Сгибнева,</w:t>
      </w:r>
    </w:p>
    <w:p>
      <w:pPr>
        <w:pStyle w:val="Style5"/>
        <w:tabs>
          <w:tab w:leader="none" w:pos="5981" w:val="right"/>
          <w:tab w:leader="none" w:pos="7138" w:val="center"/>
          <w:tab w:leader="none" w:pos="102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</w:t>
        <w:tab/>
        <w:t>проводилось</w:t>
        <w:tab/>
        <w:t>дистанционно</w:t>
        <w:tab/>
        <w:t>(посредством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видеоконференцсвязи) в целях исполнения Указа Мэра Москвы от 25.09.2020 №92- УМ «О внесении изменений в правовые акты города Москвы» и предупреждения распространения в городе Москве инфекции, вызванной коронавирусом 2019-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ГОХРАН России, ООО «Старт-2»,</w:t>
      </w:r>
    </w:p>
    <w:p>
      <w:pPr>
        <w:pStyle w:val="Style3"/>
        <w:framePr w:w="1349" w:h="427" w:wrap="around" w:vAnchor="text" w:hAnchor="margin" w:x="351" w:y="204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000986103497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2" w:line="288" w:lineRule="exact"/>
        <w:ind w:left="20" w:right="20" w:firstLine="58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9" w:left="838" w:right="848" w:bottom="11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«Старт-2» (далее — Заявитель) на действия ГОХРАН России (далее-Заказчик) при проведении электронного аукциона на право заключения государственного контракта на поставку оборудования промышленного холодильного и вентиляционного для обеспечения государственных нужд (Закупка № 0373100060020000143) (далее - электронный аукцион, аукцион) в соответствии с Федеральным законом от 05.04.2013 №44-ФЗ «О контрактной системе в сфере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3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(исх. № ЕИ/6623/21 от 28.01.2021).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направлении Заявителю проекта контракта с ценой, сниженной на 15 процентов от предложенной обществом в ходе аукциона в соответствии с положениями Приказа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— приказ № 126н), что, по мнению Заявителя, является неправомерным ввиду нижеследующего.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среди предложений участников, допущенных к участию в аукционе, присутствуют предложения о поставке товаров членов Евразийского экономического союза, которые содержат недостоверные данные.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применение условий допуска в соответствии с приказом № 126н неправомерно, поскольку в рамках рассматриваемой закупки не могут быть поставлены сплит-системы, происходящих исключительно из государств - членов Евразийского экономического союза.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14.01.2021 №0373100060020000143-3 Заявитель (идентификационный номер заявки 4) признан победителем аукциона, предложившим наименьшую цену контракта 12 929 679,75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товаров, происход</w:t>
      </w:r>
      <w:r>
        <w:rPr>
          <w:rStyle w:val="CharStyle11"/>
        </w:rPr>
        <w:t>ящи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установлен запрет в соответствии с ч.3 ст.14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п.10 ст.42 Закона о контрактной системе в извещении об осуществлении закупки должна содержаться информация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 14 Закона о контрактной системе.</w:t>
      </w:r>
    </w:p>
    <w:p>
      <w:pPr>
        <w:pStyle w:val="Style5"/>
        <w:tabs>
          <w:tab w:leader="none" w:pos="82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а также требования к содержанию, составу заявки на участие в таком аукционе в соответствии с ч.3-6</w:t>
        <w:tab/>
        <w:t>ст.66 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пп.а п.2 ч.3 ст.66 Закона о контрактной системе первая часть заявки на участие в электронном аукционе, за исключением случая, предусмотренного ч.3.1 ст.66 Закона о контрактной системе, должна содержать наименование страны происхождения товара.</w:t>
      </w:r>
    </w:p>
    <w:p>
      <w:pPr>
        <w:pStyle w:val="Style5"/>
        <w:tabs>
          <w:tab w:leader="none" w:pos="42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приказа №</w:t>
        <w:tab/>
        <w:t>126н определяет условия допуска товаров,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нужд, указанных в приложении к приказу.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а п.1.3 приказа № 126н при проведении аукциона контракт заключается по цене, сниженной на 15 процентов от предложенной победителем аукциона,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приказа № 126н установлено, что положения подпунктов 1.1 - 1.3 пункта 1 приказа № 126н не применяются при проведении конкурса, аукциона, запроса котировок, запроса предложений в случаях, если: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конкурс, аукцион, запрос котировок, запрос предложений признается не состоявшимся в случаях, предусмотренных Законом о контрактной системе;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все заявки (окончательные предложения) участников закупки, признанные в порядке, Законом о контрактной системе, соответствующими требованиям документации о закупке, извещения о проведении запроса котировок, содержат предложения о поставке товаров, указанных в Приложении и происходящих исключительно из государств - членов Евразийского экономического союза;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все заявки (окончательные предложения) участников закупки, признанные в порядке, предусмотренном Законом о контрактной системе, соответствующими требованиям документации о закупке, извещения о проведении запроса котировок, содержат предложение о поставке указанных в Приложении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союза);</w:t>
      </w:r>
    </w:p>
    <w:p>
      <w:pPr>
        <w:pStyle w:val="Style5"/>
        <w:tabs>
          <w:tab w:leader="none" w:pos="12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</w:t>
        <w:tab/>
        <w:t>в отношении товаров, указанных в Приложении, Правительством Российской Федерации установлен запрет в соответствии с частью 3 статьи 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п.1.6 приказа № 126н подтверждением страны происхождения товаров, указанных в Приложении, является указание (декларирование) участником закупки в заявке в соответствии с Законом о контрактной системе наименования страны происхождения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Заявителя предложены к поставке в том числе товары иностранного происхождения.</w:t>
      </w:r>
    </w:p>
    <w:p>
      <w:pPr>
        <w:pStyle w:val="Style5"/>
        <w:tabs>
          <w:tab w:leader="none" w:pos="25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на участие в закупке подана заявка, в составе первой части которой продекларирована страна происхождения поставляемого товара — Российская Федерация (идентификационный номер заявки 122), признанная соответствующей требованиям документации, в то время как Заявителем предложены к поставке товары иностранного происхождения, в связи с чем, к победителю аукциона в лице Заявителя применён 15-процентный коэффициент снижения предложенной цены контракта, ввиду несоблюдения условий неприменения порядка, установленного пп.1.1-1.3 п.1 приказа 126н, определенных в п.2 приказа №</w:t>
        <w:tab/>
        <w:t>126н, что не противоречит положениям действующего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ходе заседания Комиссии Управления, а также в составе жалобы Заявителем не представлены документальные подтверждения обоснованности доводов жалобы, а также свидетельствующие о нарушении Заказчиком норм Закона о контрактной системе при направлении победителю электронного аукциона проекта контракта в соответствии с положениями приказа № 126н. Кроме того, Заявителем не представлены документы, в частности заключения Министерства промышленности и торговли Российской Федерации, однозначно свидетельствующие о том, что в рамках рассматриваемой закупки у участников закупки отсутствует возможность поставки товаров российского происхождения.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 и являются необоснованными, и что решение Заказчика в части применения к победителю аукциона понижающего коэффициента к предложенной цене контракта является правомерным и не противоречит требованиям приказа № 126н и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13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«Старт-2» на действия ГОХРАН России необоснованной.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326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(исх. № ЕИ/6623/21 от 28.01.2021).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9077" w:val="right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8400" w:val="center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Кутейников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191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Кутейников А.А. </w:t>
      </w:r>
      <w:r>
        <w:fldChar w:fldCharType="begin"/>
      </w:r>
      <w:r>
        <w:rPr>
          <w:color w:val="000000"/>
        </w:rPr>
        <w:instrText> HYPERLINK "mailto:to77-kuteynikov@fas.gov.ru"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to77-kuteynikov@fas.gov.ru</w:t>
      </w:r>
      <w:r>
        <w:fldChar w:fldCharType="end"/>
      </w:r>
    </w:p>
    <w:sectPr>
      <w:pgSz w:w="11906" w:h="16838"/>
      <w:pgMar w:top="1749" w:left="849" w:right="847" w:bottom="19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(4)_"/>
    <w:basedOn w:val="DefaultParagraphFont"/>
    <w:link w:val="Style14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264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center"/>
      <w:spacing w:before="24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82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