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7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Псковской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1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Кузнецкая, 13, г. Псков, 180017 тел./факс (8112) 66-55-53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"mailto:to60@fas.gov.ru" </w:instrText>
      </w:r>
      <w:r>
        <w:fldChar w:fldCharType="separate"/>
      </w:r>
      <w:r>
        <w:rPr>
          <w:rStyle w:val="Hyperlink"/>
        </w:rPr>
        <w:t>to60@fas.gov.ru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360" w:firstLine="0"/>
      </w:pPr>
      <w:r>
        <w:rPr>
          <w:rStyle w:val="CharStyle10"/>
          <w:i w:val="0"/>
          <w:iCs w:val="0"/>
        </w:rPr>
        <w:t xml:space="preserve">№ </w:t>
      </w:r>
      <w:r>
        <w:rPr>
          <w:rStyle w:val="CharStyle11"/>
          <w:i w:val="0"/>
          <w:iCs w:val="0"/>
        </w:rPr>
        <w:t>3</w:t>
      </w:r>
      <w:r>
        <w:rPr>
          <w:rStyle w:val="CharStyle12"/>
          <w:i w:val="0"/>
          <w:iCs w:val="0"/>
        </w:rPr>
        <w:t xml:space="preserve"> </w:t>
      </w:r>
      <w:r>
        <w:rPr>
          <w:rStyle w:val="CharStyle13"/>
          <w:i/>
          <w:iCs/>
        </w:rPr>
        <w:t xml:space="preserve">C# </w:t>
      </w:r>
      <w:r>
        <w:rPr>
          <w:rStyle w:val="CharStyle13"/>
          <w:lang w:val="ru-RU" w:eastAsia="ru-RU" w:bidi="ru-RU"/>
          <w:i/>
          <w:iCs/>
        </w:rPr>
        <w:t>/гЪ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3" w:line="288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Власихинская улица, д.49/1, офис 141, Алтайский край, г. Барнаул, 656016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Ответчик: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0" w:right="0" w:firstLine="0"/>
      </w:pPr>
      <w:r>
        <w:rPr>
          <w:rStyle w:val="CharStyle14"/>
        </w:rPr>
        <w:t xml:space="preserve">Заказчик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ФГБОУ ВО «Псковский государственный университет» пл. Ленина, д.2,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Псковская область,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Псков, 180000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торговой площадки: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115114, Москва, ул. Кожевническая,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д. 14, стр. 5</w:t>
      </w:r>
    </w:p>
    <w:p>
      <w:pPr>
        <w:pStyle w:val="Style5"/>
        <w:tabs>
          <w:tab w:leader="none" w:pos="4408" w:val="right"/>
          <w:tab w:leader="none" w:pos="43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901" w:left="1893" w:right="1202" w:bottom="594" w:header="0" w:footer="3" w:gutter="0"/>
          <w:rtlGutter w:val="0"/>
          <w:cols w:num="2" w:space="720" w:equalWidth="0">
            <w:col w:w="3748" w:space="709"/>
            <w:col w:w="4352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info@roseltorg.ru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  <w:tab/>
        <w:t>■;</w:t>
      </w: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6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060/06/54.3-42/2021</w:t>
      </w:r>
    </w:p>
    <w:p>
      <w:pPr>
        <w:pStyle w:val="Style3"/>
        <w:tabs>
          <w:tab w:leader="none" w:pos="8350" w:val="center"/>
          <w:tab w:leader="none" w:pos="8846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3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«04» февраля 2021 года</w:t>
        <w:tab/>
        <w:t>г.</w:t>
        <w:tab/>
        <w:t>Псков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решения оглашена 04 февраля 2021 года.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изготовлено в полном объеме 09 февраля 2021 года.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заседании производилась видеозапись.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Псковского У ФАС России по контролю в сфере закупок (далее - Комиссия)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ведущего заседание - начальника отдела контроля закупок, антимонопольного контроля органов власти и рекламы Псковского УФАС России Юркиной Н.Ю. - заместитель председателя Комиссии,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главного специалиста-эксперта отдела контроля закупок, антимонопольного контроля органов власти и рекламы Псковского УФАС России Висковой Г.Ю.,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ведущего специалиста-эксперта отдела контроля закупок, антимонопольного контроля органов власти и рекламы Псковского УФАС России Татариновой Е. Г.,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участие в видеоконференции приняли: представители от Заказчика Коржов Д.В. (доверенность № 6 от 14.01.2020, сроком до 14.01.2023), Синяев В.В. (доверенность № 47 от 06.06.2018, сроком до 06.06.2021), от Заявителя представитель участие в рассмотрении жалобы путем ВКС не принял, уведомлен надлежащим образом,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70" w:line="30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с использованием системы видеоконференц-связи ООО ООО «ТехСтройПартнер» на положение документации об электронном аукционе на капитальный ремонт фасадов (замена окон) зданий общежитий ПсковГУ,</w:t>
        <w:br w:type="page"/>
        <w:t>расположенных по адресам: г. Псков, ул. Металлистов, д. 14 и ул. Металлистов д. 16 (номер извещения: 0357100012820000016) и в результате осуществления внеплановой проверки в соответствии с п.1 ч.15 ст.99 Федерального закона от 05.04.2013,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пунктом 3.31 административного регламента, утвержденного Приказом ФАС России от 19.11.2014 №727/14 (далее - Административный регламент),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26" w:line="240" w:lineRule="exact"/>
        <w:ind w:left="40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Заказчиком объявлен электронный аукцион на капитальный ремонт фасадов (замена окон) зданий общежитий ПсковГУ, расположенных по адресам: г. Псков, ул. Металлистов, д. 14 и ул. Металлистов д. 16 (номер извещения: 0357100012820000016).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Извещение № 0357100012820000016 о проведении вышеуказанного электронного аукциона размещено в Единой информационной системе (далее - ЕИС) в сети Интернет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- 31.12.2020 в 12:22, Изменения извещения о проведении электронного аукциона от 15.01.2021 №ИИ1 размещены 15.01.2021 в 16:36. Изменения извещения о проведении электронного аукциона от 22.01.2021 №ИИ2 размещены 22.01.2021 в 17:22.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- 5 677 150,00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и время окончания срока подачи заявок на участие в аукционе - 01.02.2021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10:00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Оператор электронной площадки АО «Единая электронная торговая площадка»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"https://www.roseltorg.ru/"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https://www.roseltorg.ru/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).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(вх. №65-з) поступила жалоба от Заявителя.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0" w:line="302" w:lineRule="exact"/>
        <w:ind w:left="20" w:right="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Рассмотрение жалобы состоялось 04 февраля 2021 года в 12 часов 00 минут.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его права и законные интересы нарушены следующими действиями Заказчика (жалоба в материалах дела).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в ЕИС неправомерно не размещен проект сметы контракта, а также отсутствует расчет начальной (максимальной) цены государственного контракта в документации об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Заказчика не согласились с доводами Заявителя и сообщили следующее (письменные объяснения в материалах дела):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проведении аукциона Заказчик действовал в соответствии с законодательством Российской Федерации о контрактной системе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установлено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9 статьи 22 Закона о контрактной системе проектно-сметный метод заключается в определении начальной (максимальной) цены контракта, цены контракта, заключаемого с единственным поставщиком (подрядчиком, исполнителем), в тем числе, на строительство, реконструкцию, капитальный ремонт, снос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6.1 статьи 110.2 Закона о контрактной системе оплата выполненных работ осуществляется в пределах цены контрактов, предметом которых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 частью 7 статьи 110.2 Закона о контрактной системе методики составления сметы контракта, графика оплаты выполненных по контракту работ*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пункту 2 приложения № 2 "Методика составления сметы контракта, предметом которого являются строительство, реконструкция объектов капитального строительства" к приказу Министерства строительства и жилищно-коммунального хозяйства Российской Федерации от 23 декабря 2019 года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,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капитального/ строительства. Включение проектной документации в документацию о закупке в соответствии с настоящим/ пунктом является надлежащим исполнением требований пунктов 1-3 части 33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вышеизложенное, проектом сметы контракта являются размещенные в ЕИС в составе проектной документации сметы на выполнение работ.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заседании комиссии установлено, что в ЕИС 22.01.2021 в разделе «Информация, изменение документации» размещена документация о закупке (приложения к проекту контракт), в том числе сводный сметный расчет, график производства работ, ведомости объема работ, локальные сметные расчеты, обоснование НМЦК е использованием проектно-сметного метода определения НМЦК, что не противоречит законодательству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разделом 4 Проекта контракта начальная (максимальная) цена контракта определена на основании проектно-сметного метода в соответствии с Приказом Минэкономразвития России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567 от 02.10.13 г. "Об утверждении методических рекомендации по применению методов определения (начальной) максимальной цены контракта, цены контракта, заключаемого с единственным поставщиком (подрядчиком, исполнителем)".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вышеизложенное, Комиссия приходит к выводу, что действия Заказчика не противоречат законодательству Российской Федерации о контрактной системе в сфере закупок.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а также учитывая, что Заявитель на заседание Комиссии явку представителя не обеспечил, в составе жалобы доказательств, подтверждающих обоснованность довода, не представил, Комиссия приходит к выводу, что довод Заявителя не нашел своего подтверждения. 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руководствуясь статьями 99 и 106 Закона о контрактной системе, Комиссия Псковского УФАС России,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60" w:line="240" w:lineRule="exact"/>
        <w:ind w:left="3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28" w:line="240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«ТехСтройПартнер» необоснованной.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  <w:sectPr>
          <w:type w:val="continuous"/>
          <w:pgSz w:w="11906" w:h="16838"/>
          <w:pgMar w:top="826" w:left="1146" w:right="1257" w:bottom="115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30" w:wrap="around" w:hAnchor="margin" w:x="7329" w:y="983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9"/>
          <w:spacing w:val="0"/>
        </w:rPr>
        <w:t>Н.Ю. Юркина</w:t>
      </w:r>
    </w:p>
    <w:p>
      <w:pPr>
        <w:pStyle w:val="Style5"/>
        <w:framePr w:h="220" w:wrap="around" w:vAnchor="text" w:hAnchor="margin" w:x="7333" w:y="90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9"/>
          <w:spacing w:val="0"/>
        </w:rPr>
        <w:t>Г.Ю. Вискова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64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Ведущий заседание: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484" w:left="1097" w:right="8319" w:bottom="319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Е.Г. Татаринова</w:t>
      </w:r>
    </w:p>
    <w:sectPr>
      <w:type w:val="continuous"/>
      <w:pgSz w:w="11906" w:h="16838"/>
      <w:pgMar w:top="484" w:left="7328" w:right="1676" w:bottom="31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31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29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/>
      <w:iCs/>
      <w:u w:val="none"/>
      <w:strike w:val="0"/>
      <w:smallCaps w:val="0"/>
      <w:rFonts w:ascii="Sylfaen" w:eastAsia="Sylfaen" w:hAnsi="Sylfaen" w:cs="Sylfaen"/>
      <w:spacing w:val="20"/>
    </w:rPr>
  </w:style>
  <w:style w:type="character" w:customStyle="1" w:styleId="CharStyle10">
    <w:name w:val="Основной текст (3) + Не курсив,Интервал 0 pt"/>
    <w:basedOn w:val="CharStyle9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3) + Times New Roman,Не курсив,Интервал 0 pt"/>
    <w:basedOn w:val="CharStyle9"/>
    <w:rPr>
      <w:lang w:val="ru-RU" w:eastAsia="ru-RU" w:bidi="ru-RU"/>
      <w:i/>
      <w:iCs/>
      <w:u w:val="single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2">
    <w:name w:val="Основной текст (3) + Не курсив,Интервал 0 pt"/>
    <w:basedOn w:val="CharStyle9"/>
    <w:rPr>
      <w:lang w:val="ru-RU" w:eastAsia="ru-RU" w:bidi="ru-RU"/>
      <w:i/>
      <w:i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9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14">
    <w:name w:val="Основной текст +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 (5)_"/>
    <w:basedOn w:val="DefaultParagraphFont"/>
    <w:link w:val="Style17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240" w:after="240" w:line="29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right"/>
      <w:spacing w:before="240" w:line="0" w:lineRule="exact"/>
    </w:pPr>
    <w:rPr>
      <w:b w:val="0"/>
      <w:bCs w:val="0"/>
      <w:i/>
      <w:iCs/>
      <w:u w:val="none"/>
      <w:strike w:val="0"/>
      <w:smallCaps w:val="0"/>
      <w:rFonts w:ascii="Sylfaen" w:eastAsia="Sylfaen" w:hAnsi="Sylfaen" w:cs="Sylfaen"/>
      <w:spacing w:val="20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both"/>
      <w:spacing w:line="30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jc w:val="both"/>
      <w:spacing w:before="240" w:line="31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