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 xml:space="preserve"> ГБУ «Жилищник района Ивановское»</w:t>
      </w:r>
    </w:p>
    <w:p>
      <w:pPr>
        <w:pStyle w:val="Style5"/>
        <w:widowControl w:val="0"/>
        <w:keepNext w:val="0"/>
        <w:keepLines w:val="0"/>
        <w:shd w:val="clear" w:color="auto" w:fill="auto"/>
        <w:bidi w:val="0"/>
        <w:jc w:val="left"/>
        <w:spacing w:before="0" w:after="349" w:line="322" w:lineRule="exact"/>
        <w:ind w:left="5320" w:right="20" w:firstLine="0"/>
      </w:pPr>
      <w:r>
        <w:rPr>
          <w:lang w:val="ru-RU" w:eastAsia="ru-RU" w:bidi="ru-RU"/>
          <w:w w:val="100"/>
          <w:spacing w:val="0"/>
          <w:color w:val="000000"/>
          <w:position w:val="0"/>
        </w:rPr>
        <w:t>ул. Чечулина, д. 11, к. 1, г. Москва, 105568</w:t>
      </w:r>
    </w:p>
    <w:p>
      <w:pPr>
        <w:pStyle w:val="Style5"/>
        <w:numPr>
          <w:ilvl w:val="0"/>
          <w:numId w:val="1"/>
        </w:numPr>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 xml:space="preserve"> ГКУ «Дирекция ЖКХиБ ВАО»</w:t>
      </w:r>
    </w:p>
    <w:p>
      <w:pPr>
        <w:pStyle w:val="Style5"/>
        <w:widowControl w:val="0"/>
        <w:keepNext w:val="0"/>
        <w:keepLines w:val="0"/>
        <w:shd w:val="clear" w:color="auto" w:fill="auto"/>
        <w:bidi w:val="0"/>
        <w:jc w:val="left"/>
        <w:spacing w:before="0" w:after="346" w:line="317" w:lineRule="exact"/>
        <w:ind w:left="5320" w:right="20" w:firstLine="0"/>
      </w:pPr>
      <w:r>
        <w:rPr>
          <w:lang w:val="ru-RU" w:eastAsia="ru-RU" w:bidi="ru-RU"/>
          <w:w w:val="100"/>
          <w:spacing w:val="0"/>
          <w:color w:val="000000"/>
          <w:position w:val="0"/>
        </w:rPr>
        <w:t>пер. Колодезный, д. 14, г. Москва, 107076</w:t>
      </w:r>
    </w:p>
    <w:p>
      <w:pPr>
        <w:pStyle w:val="Style5"/>
        <w:numPr>
          <w:ilvl w:val="0"/>
          <w:numId w:val="1"/>
        </w:numPr>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 xml:space="preserve"> ООО «Парк Техно»</w:t>
      </w:r>
    </w:p>
    <w:p>
      <w:pPr>
        <w:pStyle w:val="Style5"/>
        <w:widowControl w:val="0"/>
        <w:keepNext w:val="0"/>
        <w:keepLines w:val="0"/>
        <w:shd w:val="clear" w:color="auto" w:fill="auto"/>
        <w:bidi w:val="0"/>
        <w:jc w:val="left"/>
        <w:spacing w:before="0" w:after="0" w:line="322" w:lineRule="exact"/>
        <w:ind w:left="5320" w:right="20" w:firstLine="0"/>
      </w:pPr>
      <w:r>
        <w:rPr>
          <w:lang w:val="ru-RU" w:eastAsia="ru-RU" w:bidi="ru-RU"/>
          <w:w w:val="100"/>
          <w:spacing w:val="0"/>
          <w:color w:val="000000"/>
          <w:position w:val="0"/>
        </w:rPr>
        <w:t xml:space="preserve">пр-кт Победы, д. 27, пом. </w:t>
      </w:r>
      <w:r>
        <w:rPr>
          <w:lang w:val="en-US" w:eastAsia="en-US" w:bidi="en-US"/>
          <w:w w:val="100"/>
          <w:spacing w:val="0"/>
          <w:color w:val="000000"/>
          <w:position w:val="0"/>
        </w:rPr>
        <w:t xml:space="preserve">4-II-4, </w:t>
      </w:r>
      <w:r>
        <w:rPr>
          <w:lang w:val="ru-RU" w:eastAsia="ru-RU" w:bidi="ru-RU"/>
          <w:w w:val="100"/>
          <w:spacing w:val="0"/>
          <w:color w:val="000000"/>
          <w:position w:val="0"/>
        </w:rPr>
        <w:t>оф. 401/3,</w:t>
      </w:r>
    </w:p>
    <w:p>
      <w:pPr>
        <w:pStyle w:val="Style5"/>
        <w:widowControl w:val="0"/>
        <w:keepNext w:val="0"/>
        <w:keepLines w:val="0"/>
        <w:shd w:val="clear" w:color="auto" w:fill="auto"/>
        <w:bidi w:val="0"/>
        <w:jc w:val="left"/>
        <w:spacing w:before="0" w:after="1080" w:line="322" w:lineRule="exact"/>
        <w:ind w:left="5320" w:right="20" w:firstLine="0"/>
      </w:pPr>
      <w:r>
        <w:rPr>
          <w:lang w:val="ru-RU" w:eastAsia="ru-RU" w:bidi="ru-RU"/>
          <w:w w:val="100"/>
          <w:spacing w:val="0"/>
          <w:color w:val="000000"/>
          <w:position w:val="0"/>
        </w:rPr>
        <w:t xml:space="preserve">г. Тверь, 170008, </w:t>
      </w:r>
      <w:r>
        <w:fldChar w:fldCharType="begin"/>
      </w:r>
      <w:r>
        <w:rPr>
          <w:color w:val="000000"/>
        </w:rPr>
        <w:instrText> HYPERLINK "mailto:yakowlevevg@yandex.ua" </w:instrText>
      </w:r>
      <w:r>
        <w:fldChar w:fldCharType="separate"/>
      </w:r>
      <w:r>
        <w:rPr>
          <w:rStyle w:val="Hyperlink"/>
          <w:lang w:val="en-US" w:eastAsia="en-US" w:bidi="en-US"/>
          <w:w w:val="100"/>
          <w:spacing w:val="0"/>
          <w:position w:val="0"/>
        </w:rPr>
        <w:t>yakowlevevg@yandex.ua</w:t>
      </w:r>
      <w:r>
        <w:fldChar w:fldCharType="end"/>
      </w:r>
    </w:p>
    <w:p>
      <w:pPr>
        <w:pStyle w:val="Style7"/>
        <w:tabs>
          <w:tab w:leader="none" w:pos="9049"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077/06/106-1667/2021 о нарушении законодательства о контрактной системе 04.02.2021</w:t>
        <w:tab/>
        <w:t>г.</w:t>
        <w:tab/>
        <w:t>Москва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tabs>
          <w:tab w:leader="none" w:pos="586"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участии представителей ГБУ «Жилищник района Ивановское», ООО «Парк Техно»,</w:t>
      </w:r>
    </w:p>
    <w:p>
      <w:pPr>
        <w:pStyle w:val="Style3"/>
        <w:framePr w:w="1349" w:h="427" w:wrap="around" w:vAnchor="text" w:hAnchor="margin" w:x="351" w:y="1062"/>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002044089467</w:t>
      </w:r>
    </w:p>
    <w:p>
      <w:pPr>
        <w:pStyle w:val="Style5"/>
        <w:widowControl w:val="0"/>
        <w:keepNext w:val="0"/>
        <w:keepLines w:val="0"/>
        <w:shd w:val="clear" w:color="auto" w:fill="auto"/>
        <w:bidi w:val="0"/>
        <w:jc w:val="both"/>
        <w:spacing w:before="0" w:after="356" w:line="322" w:lineRule="exact"/>
        <w:ind w:left="20" w:right="20" w:firstLine="700"/>
        <w:sectPr>
          <w:footnotePr>
            <w:pos w:val="pageBottom"/>
            <w:numFmt w:val="decimal"/>
            <w:numRestart w:val="continuous"/>
          </w:footnotePr>
          <w:type w:val="continuous"/>
          <w:pgSz w:w="11906" w:h="16838"/>
          <w:pgMar w:top="669" w:left="843" w:right="853" w:bottom="1168" w:header="0" w:footer="3" w:gutter="0"/>
          <w:rtlGutter w:val="0"/>
          <w:cols w:space="720"/>
          <w:noEndnote/>
          <w:docGrid w:linePitch="360"/>
        </w:sectPr>
      </w:pPr>
      <w:r>
        <w:rPr>
          <w:lang w:val="ru-RU" w:eastAsia="ru-RU" w:bidi="ru-RU"/>
          <w:w w:val="100"/>
          <w:spacing w:val="0"/>
          <w:color w:val="000000"/>
          <w:position w:val="0"/>
        </w:rPr>
        <w:t>рассмотрев жалобу ООО «Парк Техно» (далее — Заявитель) на действия ГБУ «Жилищник района Ивановское» (далее — Заказчик) при проведении открытого</w:t>
      </w:r>
    </w:p>
    <w:p>
      <w:pPr>
        <w:pStyle w:val="Style5"/>
        <w:widowControl w:val="0"/>
        <w:keepNext w:val="0"/>
        <w:keepLines w:val="0"/>
        <w:shd w:val="clear" w:color="auto" w:fill="auto"/>
        <w:bidi w:val="0"/>
        <w:jc w:val="both"/>
        <w:spacing w:before="0" w:after="240" w:line="322" w:lineRule="exact"/>
        <w:ind w:left="20" w:right="20" w:firstLine="0"/>
      </w:pPr>
      <w:r>
        <w:rPr>
          <w:lang w:val="ru-RU" w:eastAsia="ru-RU" w:bidi="ru-RU"/>
          <w:w w:val="100"/>
          <w:spacing w:val="0"/>
          <w:color w:val="000000"/>
          <w:position w:val="0"/>
        </w:rPr>
        <w:t>конкурса в электронной форме на право заключения государственного контракта на оказание услуг по разработке проектно-сметной документации улицы Саянская, улицы Сталеваров, Свободный проспект, в том числе прилегающие территории (Закупка № 0373200006220001310)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0"/>
        <w:ind w:left="42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обжалует действия конкурсной комиссии Заказчика, выразившиеся в признании заявки Заявителя не соответствующей требованиям конкурсной документации по результатам рассмотрения и оценки вторых частей заявок.</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письмами Московского УФАС России от 01.02.2021 №ЕИ/52701/21 документы и сведения.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протоколу рассмотрения и оценки вторых частей заявок на участие в открытом конкурсе в электронной форме от 27.01.2021 №ПРОП1 заявка ООО «Парк Техно» признана несоответствующей на следующем основании: «Отсутствует лицензия на осуществление деятельности по сохранению объектов культурного наследия».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п.1 ч.1 ст.31 Закона о контрактной системе при 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п.4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в п.18.1 информационной карты конкурсной документации установлено требование о наличии у участника закупки лицензии на осуществление деятельности по сохранению объектов культурного наследия (памятников истории и культуры) народов Российской Федерации, выданной Министерством культуры Российской Федерации в соответствии с постановлением Правительства Российской Федерации от 17 октября 2017 г. № 1262 «О внесении изменений в Положение о лицензировании деятельности по сохранению объектов культурного наследия (памятников истории и культуры) народов Российской Федерации» по видам работ: -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w:t>
      </w:r>
    </w:p>
    <w:p>
      <w:pPr>
        <w:pStyle w:val="Style5"/>
        <w:tabs>
          <w:tab w:leader="none" w:pos="4119"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Кроме того, согласно пп.2 п.23 информационной карты аукционной документации установлено:</w:t>
        <w:tab/>
        <w:t>«Документы, подтверждающие соответствие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требованиям, установленным законодательством Российской Федерации к лицам, осуществляющим поставку товара, выполнение работ, оказание услуг, являющихся объектом закупки, установленных в соответствии с п. 1 ч. 1 ст. 31 (при наличии таких требований)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п.3 ч.6 ст. 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в частности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Закона о контрактной системе.</w:t>
      </w:r>
    </w:p>
    <w:p>
      <w:pPr>
        <w:pStyle w:val="Style5"/>
        <w:tabs>
          <w:tab w:leader="none" w:pos="4974"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ч.11</w:t>
        <w:tab/>
        <w:t>ст.24.1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ст.54.7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в составе второй части заявки ООО «Парк Техно» отсутствует лицензия на осуществление деятельности по сохранению объектов культурного наследия (памятников истории и культуры) народов Российской Федерации, выданной Министерством культуры Российской Федерации, что противоречит п.18.1 и п.23 информационной карты конкурсной</w:t>
      </w:r>
    </w:p>
    <w:p>
      <w:pPr>
        <w:pStyle w:val="Style5"/>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документации и Закону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Вместе с тем на заседании Комиссии Управления представитель Заявителя не оспаривал факт отсутствия в составе второй части заявки вышеуказанной лицензии, предусмотренной как конкурсной документацией, так и Законом о контрактной системе, при этом в обоснование доводов о неправомерности действий конкурсной комиссии Заявитель оспаривает положения конкурсной документации.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Вместе с тем указанные доводы в отношении конкурсной документации не могут быть рассмотрены Комиссией Управления при рассмотрении жалобы на действия конкурсной комиссии Заказчика, так как обжалование положений конкурсной документации возможно согласно ч.4 ст.105 Закона о контрактной системе до окончания срока подачи заявок, а не на этапе их рассмотрения.</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При этом в соответствии с извещениями о проведении конкурса, датой окончания срока подачи заявок на участие в конкурсе указано 19.01.2021, в то время как жалоба поступила в Московское УФАС России 29.01.2020, таким образом, обжалование положений конкурсной документации возможно исключительно в судебном порядке.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ч.4 ст.54.7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5"/>
        <w:numPr>
          <w:ilvl w:val="0"/>
          <w:numId w:val="3"/>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pPr>
        <w:pStyle w:val="Style5"/>
        <w:numPr>
          <w:ilvl w:val="0"/>
          <w:numId w:val="3"/>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pPr>
        <w:pStyle w:val="Style5"/>
        <w:numPr>
          <w:ilvl w:val="0"/>
          <w:numId w:val="3"/>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pPr>
        <w:pStyle w:val="Style5"/>
        <w:numPr>
          <w:ilvl w:val="0"/>
          <w:numId w:val="3"/>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Закона о контрактной системе;</w:t>
      </w:r>
    </w:p>
    <w:p>
      <w:pPr>
        <w:pStyle w:val="Style5"/>
        <w:numPr>
          <w:ilvl w:val="0"/>
          <w:numId w:val="3"/>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Таким образом, Комиссия Управления приходит к выводу о том, что у конкурсной комиссии Заказчика имелись основания для признания заявки</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ООО «Парк Техно» не соответствующей требованиям конкурсной документации и Закону о контрактной системе.</w:t>
      </w:r>
    </w:p>
    <w:p>
      <w:pPr>
        <w:pStyle w:val="Style5"/>
        <w:tabs>
          <w:tab w:leader="none" w:pos="5016" w:val="right"/>
          <w:tab w:leader="none" w:pos="7373" w:val="right"/>
          <w:tab w:leader="none" w:pos="10183"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Исследовав</w:t>
        <w:tab/>
        <w:t>представленные</w:t>
        <w:tab/>
        <w:t>материалы,</w:t>
        <w:tab/>
        <w:t>руководствуясь</w:t>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Административным регламентом, утвержденным Приказом ФАС России от 19.11.2014 № 727/14, Комиссия Управления</w:t>
      </w:r>
    </w:p>
    <w:p>
      <w:pPr>
        <w:pStyle w:val="Style10"/>
        <w:widowControl w:val="0"/>
        <w:keepNext/>
        <w:keepLines/>
        <w:shd w:val="clear" w:color="auto" w:fill="auto"/>
        <w:bidi w:val="0"/>
        <w:jc w:val="center"/>
        <w:spacing w:before="0" w:after="303" w:line="260" w:lineRule="exact"/>
        <w:ind w:left="20" w:right="0" w:firstLine="0"/>
      </w:pPr>
      <w:bookmarkStart w:id="1" w:name="bookmark1"/>
      <w:r>
        <w:rPr>
          <w:lang w:val="ru-RU" w:eastAsia="ru-RU" w:bidi="ru-RU"/>
          <w:w w:val="100"/>
          <w:spacing w:val="0"/>
          <w:color w:val="000000"/>
          <w:position w:val="0"/>
        </w:rPr>
        <w:t>РЕШИЛА:</w:t>
      </w:r>
      <w:bookmarkEnd w:id="1"/>
    </w:p>
    <w:p>
      <w:pPr>
        <w:pStyle w:val="Style5"/>
        <w:widowControl w:val="0"/>
        <w:keepNext w:val="0"/>
        <w:keepLines w:val="0"/>
        <w:shd w:val="clear" w:color="auto" w:fill="auto"/>
        <w:bidi w:val="0"/>
        <w:jc w:val="left"/>
        <w:spacing w:before="0" w:after="0" w:line="322" w:lineRule="exact"/>
        <w:ind w:left="20" w:right="20" w:firstLine="580"/>
      </w:pPr>
      <w:r>
        <w:rPr>
          <w:lang w:val="ru-RU" w:eastAsia="ru-RU" w:bidi="ru-RU"/>
          <w:w w:val="100"/>
          <w:spacing w:val="0"/>
          <w:color w:val="000000"/>
          <w:position w:val="0"/>
        </w:rPr>
        <w:t>1. Признать жалобу ООО «Парк Техно» на действия конкурсной комиссии ГБУ «Жилищник района Ивановское» необоснованной.</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В части обжалования положений конкурсной документации оставить жалобу Заявителя без рассмотрения в соответствии с ч.4 ст.105 Закона о контрактной системе.</w:t>
      </w:r>
    </w:p>
    <w:p>
      <w:pPr>
        <w:pStyle w:val="Style5"/>
        <w:numPr>
          <w:ilvl w:val="0"/>
          <w:numId w:val="5"/>
        </w:numPr>
        <w:widowControl w:val="0"/>
        <w:keepNext w:val="0"/>
        <w:keepLines w:val="0"/>
        <w:shd w:val="clear" w:color="auto" w:fill="auto"/>
        <w:bidi w:val="0"/>
        <w:jc w:val="both"/>
        <w:spacing w:before="0" w:after="304" w:line="326"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т 29.01.2021 №ЕИ/5021/21.</w:t>
      </w:r>
    </w:p>
    <w:p>
      <w:pPr>
        <w:pStyle w:val="Style5"/>
        <w:widowControl w:val="0"/>
        <w:keepNext w:val="0"/>
        <w:keepLines w:val="0"/>
        <w:shd w:val="clear" w:color="auto" w:fill="auto"/>
        <w:bidi w:val="0"/>
        <w:jc w:val="both"/>
        <w:spacing w:before="0" w:after="47" w:line="322" w:lineRule="exact"/>
        <w:ind w:left="20" w:right="20" w:firstLine="46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9109" w:val="right"/>
          <w:tab w:leader="none" w:pos="10183"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председатель Комиссии:</w:t>
        <w:tab/>
        <w:t>Д.А.</w:t>
        <w:tab/>
        <w:t>Сологов</w:t>
      </w:r>
    </w:p>
    <w:p>
      <w:pPr>
        <w:pStyle w:val="Style5"/>
        <w:tabs>
          <w:tab w:leader="none" w:pos="10183"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4371"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pgSz w:w="11906" w:h="16838"/>
      <w:pgMar w:top="1744" w:left="849" w:right="842" w:bottom="19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080" w:line="322" w:lineRule="exact"/>
      <w:ind w:firstLine="42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402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