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84"/>
        <w:ind w:left="29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Дело № 14оз-21 029/06/64-91/2021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0" w:line="250" w:lineRule="exact"/>
        <w:ind w:left="0" w:right="0" w:firstLine="0"/>
      </w:pPr>
      <w:r>
        <w:rPr>
          <w:rStyle w:val="CharStyle16"/>
          <w:b/>
          <w:bCs/>
        </w:rPr>
        <w:t>Заказчик :</w:t>
      </w:r>
    </w:p>
    <w:p>
      <w:pPr>
        <w:pStyle w:val="Style3"/>
        <w:framePr w:w="4370" w:h="3642" w:wrap="around" w:vAnchor="text" w:hAnchor="margin" w:x="102" w:y="16"/>
        <w:widowControl w:val="0"/>
        <w:keepNext w:val="0"/>
        <w:keepLines w:val="0"/>
        <w:shd w:val="clear" w:color="auto" w:fill="auto"/>
        <w:bidi w:val="0"/>
        <w:jc w:val="center"/>
        <w:spacing w:before="0" w:after="140" w:line="245" w:lineRule="exact"/>
        <w:ind w:left="160" w:right="0" w:firstLine="0"/>
      </w:pPr>
      <w:r>
        <w:rPr>
          <w:rStyle w:val="CharStyle4"/>
          <w:b/>
          <w:bCs/>
          <w:spacing w:val="0"/>
        </w:rPr>
        <w:t>ФЕДЕРАЛЬНАЯ АНТИМОНОПОЛЬНАЯ СЛУЖБА</w:t>
      </w:r>
    </w:p>
    <w:p>
      <w:pPr>
        <w:pStyle w:val="Style5"/>
        <w:framePr w:w="4370" w:h="3642" w:wrap="around" w:vAnchor="text" w:hAnchor="margin" w:x="102" w:y="16"/>
        <w:widowControl w:val="0"/>
        <w:keepNext w:val="0"/>
        <w:keepLines w:val="0"/>
        <w:shd w:val="clear" w:color="auto" w:fill="auto"/>
        <w:bidi w:val="0"/>
        <w:jc w:val="center"/>
        <w:spacing w:before="0" w:after="38" w:line="220" w:lineRule="exact"/>
        <w:ind w:left="100" w:right="0" w:firstLine="0"/>
      </w:pPr>
      <w:r>
        <w:rPr>
          <w:rStyle w:val="CharStyle6"/>
          <w:b/>
          <w:bCs/>
        </w:rPr>
        <w:t>УПРАВЛЕНИЕ</w:t>
      </w:r>
    </w:p>
    <w:p>
      <w:pPr>
        <w:pStyle w:val="Style7"/>
        <w:framePr w:w="4370" w:h="3642" w:wrap="around" w:vAnchor="text" w:hAnchor="margin" w:x="102" w:y="16"/>
        <w:widowControl w:val="0"/>
        <w:keepNext w:val="0"/>
        <w:keepLines w:val="0"/>
        <w:shd w:val="clear" w:color="auto" w:fill="auto"/>
        <w:bidi w:val="0"/>
        <w:spacing w:before="0" w:after="155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Федеральной антимонопольной службы по Архангельской области</w:t>
      </w:r>
    </w:p>
    <w:p>
      <w:pPr>
        <w:pStyle w:val="Style9"/>
        <w:framePr w:w="4370" w:h="3642" w:wrap="around" w:vAnchor="text" w:hAnchor="margin" w:x="102" w:y="16"/>
        <w:widowControl w:val="0"/>
        <w:keepNext w:val="0"/>
        <w:keepLines w:val="0"/>
        <w:shd w:val="clear" w:color="auto" w:fill="auto"/>
        <w:bidi w:val="0"/>
        <w:spacing w:before="0" w:after="237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К.Либкнехта, 2, г.Архангельск, 163000 Тел.: (8182)20-73-21, Факс: (8182)21-54-45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11"/>
        </w:rPr>
        <w:instrText> HYPERLINK "mailto:to29@fas.gov.ru" </w:instrText>
      </w:r>
      <w:r>
        <w:fldChar w:fldCharType="separate"/>
      </w:r>
      <w:r>
        <w:rPr>
          <w:rStyle w:val="Hyperlink"/>
          <w:spacing w:val="0"/>
        </w:rPr>
        <w:t>to29@fas.gov.ru</w:t>
      </w:r>
      <w:r>
        <w:fldChar w:fldCharType="end"/>
      </w:r>
    </w:p>
    <w:p>
      <w:pPr>
        <w:pStyle w:val="Style12"/>
        <w:framePr w:w="4370" w:h="3642" w:wrap="around" w:vAnchor="text" w:hAnchor="margin" w:x="102" w:y="16"/>
        <w:widowControl w:val="0"/>
        <w:keepNext w:val="0"/>
        <w:keepLines w:val="0"/>
        <w:shd w:val="clear" w:color="auto" w:fill="auto"/>
        <w:bidi w:val="0"/>
        <w:jc w:val="left"/>
        <w:spacing w:before="0" w:after="257" w:line="580" w:lineRule="exact"/>
        <w:ind w:left="20" w:right="0" w:firstLine="0"/>
      </w:pPr>
      <w:r>
        <w:rPr>
          <w:rStyle w:val="CharStyle14"/>
          <w:i w:val="0"/>
          <w:iCs w:val="0"/>
        </w:rPr>
        <w:t xml:space="preserve">  </w:t>
      </w:r>
      <w:r>
        <w:rPr>
          <w:lang w:val="ru-RU" w:eastAsia="ru-RU" w:bidi="ru-RU"/>
          <w:w w:val="100"/>
          <w:spacing w:val="-30"/>
          <w:color w:val="000000"/>
          <w:position w:val="0"/>
        </w:rPr>
        <w:t>и,</w:t>
      </w:r>
    </w:p>
    <w:p>
      <w:pPr>
        <w:pStyle w:val="Style9"/>
        <w:framePr w:w="4370" w:h="3642" w:wrap="around" w:vAnchor="text" w:hAnchor="margin" w:x="102" w:y="16"/>
        <w:tabs>
          <w:tab w:leader="none" w:pos="2127" w:val="right"/>
          <w:tab w:leader="none" w:pos="2257" w:val="left"/>
          <w:tab w:leader="underscore" w:pos="4263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  <w:t xml:space="preserve">  от</w:t>
        <w:tab/>
        <w:tab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50" w:lineRule="exact"/>
        <w:ind w:left="9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ГБУЗ АО "Первая городская клиническая больница имени Е.Е. Волосевич"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180"/>
        <w:ind w:left="9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Архангельск г, улица Суворова, дом 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"mailto:otdzak@list.ru"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otdzak@list.ru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0" w:line="250" w:lineRule="exact"/>
        <w:ind w:left="0" w:right="0" w:firstLine="0"/>
      </w:pPr>
      <w:r>
        <w:rPr>
          <w:rStyle w:val="CharStyle16"/>
          <w:b/>
          <w:bCs/>
        </w:rPr>
        <w:t>Уполномоченный орган 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50" w:lineRule="exact"/>
        <w:ind w:left="9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Контрактное агентство Архангельской области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/>
        <w:ind w:left="9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163069, г. Архангельск, ул.Выучейского, </w:t>
      </w:r>
      <w:r>
        <w:rPr>
          <w:rStyle w:val="CharStyle19"/>
        </w:rPr>
        <w:t>Д-18,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180"/>
        <w:ind w:left="98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"mailto:dkp@dvinaland.ru"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dkp@dvinaland.ru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50" w:lineRule="exact"/>
        <w:ind w:left="980" w:right="0" w:firstLine="0"/>
      </w:pPr>
      <w:r>
        <w:rPr>
          <w:rStyle w:val="CharStyle16"/>
          <w:b/>
          <w:bCs/>
        </w:rPr>
        <w:t>Оператор электронной площадки: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50" w:lineRule="exact"/>
        <w:ind w:left="9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АО «Сбербанк-АСТ»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184"/>
        <w:ind w:left="5440" w:right="2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119435, г. Москва, Большой Саввинский переулок, д. 12, стр. 9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"mailto:ko@sberbank-ast.ru"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ko@sberbank-ast.ru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45" w:lineRule="exact"/>
        <w:ind w:left="4180" w:right="0" w:firstLine="1260"/>
      </w:pPr>
      <w:r>
        <w:rPr>
          <w:rStyle w:val="CharStyle16"/>
          <w:b/>
          <w:bCs/>
        </w:rPr>
        <w:t>Заявитель: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45" w:lineRule="exact"/>
        <w:ind w:left="4180" w:right="0" w:firstLine="12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«Навигатор-Т»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 w:line="245" w:lineRule="exact"/>
        <w:ind w:left="5440" w:right="2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119313, г. Москва, ул. Гарибальди, д. 11, оф.6;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 w:line="586" w:lineRule="exact"/>
        <w:ind w:left="4180" w:right="260" w:firstLine="126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"mailto:Info@navigator-siz.ru"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Info@navigator-siz.ru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rStyle w:val="CharStyle20"/>
        </w:rPr>
        <w:t>РЕШЕНИЕ</w:t>
      </w:r>
    </w:p>
    <w:p>
      <w:pPr>
        <w:pStyle w:val="Style5"/>
        <w:tabs>
          <w:tab w:leader="none" w:pos="8094" w:val="right"/>
          <w:tab w:leader="none" w:pos="9582" w:val="right"/>
        </w:tabs>
        <w:widowControl w:val="0"/>
        <w:keepNext w:val="0"/>
        <w:keepLines w:val="0"/>
        <w:shd w:val="clear" w:color="auto" w:fill="auto"/>
        <w:bidi w:val="0"/>
        <w:spacing w:before="0" w:after="78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04 февраля 2021 года</w:t>
        <w:tab/>
        <w:t>г.</w:t>
        <w:tab/>
        <w:t>Архангельск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6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Руководствуясь Письмом ФАС России от 03.04.2020 г.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ИА/27903/20 "О дистанционном рассмотрении жалоб, проведения внеплановых проверок, рассмотрения обращений о включении сведений в отношении участников закупок, поставщиков (подрядчиков, исполнителей) в реестр недобросовестных поставщиков",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6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Архангельской области по контролю в сфере закупок (далее - Комиссия Архангельского У ФАС России) в составе: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700"/>
      </w:pPr>
      <w:r>
        <w:rPr>
          <w:rStyle w:val="CharStyle22"/>
          <w:b/>
          <w:bCs/>
        </w:rPr>
        <w:t>Председатель комиссии:</w:t>
      </w:r>
    </w:p>
    <w:p>
      <w:pPr>
        <w:pStyle w:val="Style17"/>
        <w:tabs>
          <w:tab w:leader="none" w:pos="2185" w:val="left"/>
        </w:tabs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Короткова И.Ю.</w:t>
        <w:tab/>
        <w:t>Заместитель руководителя Управления - начальник отдела контроля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82" w:line="230" w:lineRule="exact"/>
        <w:ind w:left="22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закупок,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20" w:right="0" w:firstLine="700"/>
      </w:pPr>
      <w:r>
        <w:rPr>
          <w:rStyle w:val="CharStyle22"/>
          <w:b/>
          <w:bCs/>
        </w:rPr>
        <w:t>Члены комиссии: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Вознесенская Н.В. Главный специалист-эксперт отдела контроля закупок;</w:t>
      </w:r>
    </w:p>
    <w:p>
      <w:pPr>
        <w:pStyle w:val="Style17"/>
        <w:tabs>
          <w:tab w:leader="none" w:pos="2185" w:val="left"/>
        </w:tabs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Кузнецова Е.Н.</w:t>
        <w:tab/>
        <w:t>Специалист-эксперт отдела контроля закупок;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211" w:line="269" w:lineRule="exact"/>
        <w:ind w:left="20" w:right="26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пункта 1 части 15 статьи 99, статьи 106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- ФЗ «О контрактной системе»), Постановления Правительства РФ от 26.08.2013 № 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8" w:line="230" w:lineRule="exact"/>
        <w:ind w:left="20" w:right="0" w:firstLine="700"/>
      </w:pPr>
      <w:r>
        <w:rPr>
          <w:rStyle w:val="CharStyle22"/>
          <w:b/>
          <w:bCs/>
        </w:rPr>
        <w:t>в присутствии представителей от: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20" w:right="0" w:firstLine="700"/>
      </w:pPr>
      <w:r>
        <w:rPr>
          <w:rStyle w:val="CharStyle20"/>
        </w:rPr>
        <w:t xml:space="preserve">Заявителя: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Муравьева М.О. (доверенность от 21.01.2021);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59" w:lineRule="exact"/>
        <w:ind w:left="20" w:right="260" w:firstLine="700"/>
      </w:pPr>
      <w:r>
        <w:rPr>
          <w:rStyle w:val="CharStyle20"/>
        </w:rPr>
        <w:t xml:space="preserve">Заказчика: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Власова А.Ю. (доверенность от 03.02.2021 № 946), Клюкиной Е.В. (доверенность от 22.01.2021 №571);</w:t>
      </w:r>
      <w:r>
        <w:br w:type="page"/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20" w:right="0" w:firstLine="720"/>
      </w:pPr>
      <w:r>
        <w:rPr>
          <w:rStyle w:val="CharStyle20"/>
        </w:rPr>
        <w:t xml:space="preserve">Уполномоченного органа: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Анисимова А.А. (доверенность от 06.04.2020 №54-Д);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169" w:line="254" w:lineRule="exact"/>
        <w:ind w:left="20" w:right="40" w:firstLine="720"/>
      </w:pPr>
      <w:r>
        <w:rPr>
          <w:rStyle w:val="CharStyle20"/>
        </w:rPr>
        <w:t xml:space="preserve">Участника закупки ООО «Оберег»: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Александрова А.</w:t>
      </w:r>
      <w:r>
        <w:rPr>
          <w:rStyle w:val="CharStyle20"/>
        </w:rPr>
        <w:t xml:space="preserve">В.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(доверенность от 02.02.2021 б/н);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69" w:lineRule="exact"/>
        <w:ind w:left="42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391" w:line="269" w:lineRule="exact"/>
        <w:ind w:left="20" w:right="4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>29 января 2021 года в Архангельское УФАС России — уполномоченный федеральный орган исполнительной власти, осуществляющий контроль в сфере закупок, поступила жалоба ООО «Навигатор-Т» (далее — Заявитель) на действия заказчика — ГБУЗ АО "Первая городская клиническая больница имени Е.Е. Волосевич" (далее - Заказчик), Уполномоченного органа - Контрактного агентства Архангельской области (далее — Уполномоченный орган), при проведении электронного аукциона на право заключения контракта на поставку фильтрующих самоспасателей (извещение № 0124200000620008184).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20" w:right="0" w:firstLine="720"/>
      </w:pPr>
      <w:r>
        <w:rPr>
          <w:rStyle w:val="CharStyle22"/>
          <w:b/>
          <w:bCs/>
        </w:rPr>
        <w:t>Содержание жалобы: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Обжалуются действия Заказчика, Уполномоченного органа в связи с утверждением документации об аукционе несоответствующей ФЗ «О контрактной системе».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 не согласен с доводами Заявителя по основаниям, изложенным в объяснении по жалобе от 03.02.2021 № 950.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Уполномоченный орган представил письменные объяснения по жалобе от 02.02.2021 №314-05-90.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88" w:line="274" w:lineRule="exact"/>
        <w:ind w:left="2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Архангельского УФАС России рассмотрела жалобу и провела на основании части 15 статьи 99 ФЗ «О контрактной системе» внеплановую проверку осуществления закупки с учетом следующего.</w:t>
      </w:r>
    </w:p>
    <w:p>
      <w:pPr>
        <w:pStyle w:val="Style17"/>
        <w:tabs>
          <w:tab w:leader="none" w:pos="9562" w:val="right"/>
        </w:tabs>
        <w:widowControl w:val="0"/>
        <w:keepNext w:val="0"/>
        <w:keepLines w:val="0"/>
        <w:shd w:val="clear" w:color="auto" w:fill="auto"/>
        <w:bidi w:val="0"/>
        <w:spacing w:before="0" w:after="0" w:line="264" w:lineRule="exact"/>
        <w:ind w:left="2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Постановлением Правительства Архангельской области «Об утверждении Положения о контрактном агентстве Архангельской области» от 18.12.2009 №215-пп контрактное агентство Архангельской области является уполномоченным исполнительным органом государственной власти Архангельской области, осуществляющим: регулирование контрактной системы в сфере закупок товаров, работ, услуг для обеспечения нужд Архангельской области;</w:t>
        <w:tab/>
        <w:t>определение поставщиков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64" w:lineRule="exact"/>
        <w:ind w:left="2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(подрядчиков, исполнителей) для обеспечения нужд Архангельской области; организацию и проведение аукционов по продаже права на заключение договоров аренды отдельных лесных участков.</w:t>
      </w:r>
    </w:p>
    <w:p>
      <w:pPr>
        <w:pStyle w:val="Style17"/>
        <w:tabs>
          <w:tab w:leader="none" w:pos="9562" w:val="right"/>
        </w:tabs>
        <w:widowControl w:val="0"/>
        <w:keepNext w:val="0"/>
        <w:keepLines w:val="0"/>
        <w:shd w:val="clear" w:color="auto" w:fill="auto"/>
        <w:bidi w:val="0"/>
        <w:spacing w:before="0" w:after="0" w:line="264" w:lineRule="exact"/>
        <w:ind w:left="2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Взаимодействие Уполномоченного органа и заказчиков Архангельской области в сфере закупок для обеспечения нужд Архангельской области осуществляется в порядке, установленном Постановлением Правительства Архангельской области «Порядок взаимодействия контрактного агентства Архангельской</w:t>
        <w:tab/>
        <w:t>области, государственных</w:t>
      </w:r>
    </w:p>
    <w:p>
      <w:pPr>
        <w:pStyle w:val="Style17"/>
        <w:tabs>
          <w:tab w:leader="none" w:pos="9562" w:val="right"/>
        </w:tabs>
        <w:widowControl w:val="0"/>
        <w:keepNext w:val="0"/>
        <w:keepLines w:val="0"/>
        <w:shd w:val="clear" w:color="auto" w:fill="auto"/>
        <w:bidi w:val="0"/>
        <w:spacing w:before="0" w:after="0" w:line="26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заказчиков Архангельской области, государственных</w:t>
        <w:tab/>
        <w:t>бюджетных учреждений</w:t>
      </w:r>
    </w:p>
    <w:p>
      <w:pPr>
        <w:pStyle w:val="Style17"/>
        <w:tabs>
          <w:tab w:leader="none" w:pos="9562" w:val="right"/>
        </w:tabs>
        <w:widowControl w:val="0"/>
        <w:keepNext w:val="0"/>
        <w:keepLines w:val="0"/>
        <w:shd w:val="clear" w:color="auto" w:fill="auto"/>
        <w:bidi w:val="0"/>
        <w:spacing w:before="0" w:after="0" w:line="26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Архангельской области, муниципальных заказчиков</w:t>
        <w:tab/>
        <w:t>Архангельской области,</w:t>
      </w:r>
    </w:p>
    <w:p>
      <w:pPr>
        <w:pStyle w:val="Style17"/>
        <w:tabs>
          <w:tab w:leader="none" w:pos="9562" w:val="right"/>
        </w:tabs>
        <w:widowControl w:val="0"/>
        <w:keepNext w:val="0"/>
        <w:keepLines w:val="0"/>
        <w:shd w:val="clear" w:color="auto" w:fill="auto"/>
        <w:bidi w:val="0"/>
        <w:spacing w:before="0" w:after="0" w:line="26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муниципальных бюджетных учреждений муниципальных</w:t>
        <w:tab/>
        <w:t>образований Архангельской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64" w:lineRule="exact"/>
        <w:ind w:left="2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области и отдельных юридических лиц при определении поставщиков (подрядчиков, исполнителей) для обеспечения нужд Архангельской области» от 20 декабря 2013 года № 595-пп (далее - Постановление № 595-пп).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64" w:lineRule="exact"/>
        <w:ind w:left="2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Постановлению № 595-пп Заказчик направляет в Уполномоченный орган заявку на осуществление закупки. Уполномоченный орган на основании представленной заявки Заказчика подготавливает документацию об электронном аукционе, и организует осуществление закупки.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64" w:lineRule="exact"/>
        <w:ind w:left="2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22.12.2020 Уполномоченным органом на официальном сайте единой информационной системы в сфере закупок в сети Интернет </w:t>
      </w:r>
      <w:r>
        <w:fldChar w:fldCharType="begin"/>
      </w:r>
      <w:r>
        <w:rPr>
          <w:color w:val="000000"/>
        </w:rPr>
        <w:instrText> HYPERLINK "http://zakupki.gov.ru"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http://zakupki.gov.ru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размещено извещение №0124200000620008184 о проведении электронного аукциона и документация об электронном аукционе на право заключения контракта на поставку фильтрующих самоспасателей (далее - документация об аукционе).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Начальная (максимальная) цена контракта - 265 000,00 руб.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Оператор электронной площадки - АО «Сбербанк-АСТ».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72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940" w:left="1040" w:right="1016" w:bottom="690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в жалобе указывает на то, что Заказчик установил незаконное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spacing w:before="0" w:after="0"/>
        <w:ind w:left="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требование в документации об аукционе, которое ограничивает количество участников закупки.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пунктом 1 части 1 статьи 64 ФЗ «О контрактной системе» документация об электронном аукционе наряду с информацией, указанной в извещении о проведении такого аукциона, должна содержать следующую информацию: наименование и описание объекта закупки и условия контракта в соответствии со статьей 33 указанного Федерального закона, в том числе обоснование начальной (максимальной) цены контракта, начальных цен единиц товара, работы, услуги.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пункта 1 части 1 статьи 33 ФЗ «О контрактной системе» Заказчик при описании в документации о закупке объекта закупки должен руководствоваться следующими правилами: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пункту 2 части 1 статьи 33 ФЗ «О контрактной системе» заказчик при описании в документации о закупке объекта закупки должен руководствоваться следующими правилами: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2 статьи 33 ФЗ «О контрактной системе», документация о закупке в соответствии с требованиями, указанными в части 1 данной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26" w:line="269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Исходя из смысла частей 1 и 2 статьи 33 ФЗ «О контрактной системе», потребности Заказчика являются определяющим фактором при установлении им соответствующих требований. При осуществлении закупки Заказчик вправе не только выбрать ее предмет, но и обязан определить его и описать в соответствии с нормами ФЗ «О контрактной системе» именно таким образом, чтобы участник закупки смог подать заявку на участие в торгах, соответствующую объективным и обоснованным требованиям Заказчика. ФЗ «О контрактной системе» не содержит норм, обязывающих заказчика устанавливать в документации, вопреки его потребностям, такие требования к характеристикам объекта закупки, которые соответствовали бы всем существующим видам товаров.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312" w:lineRule="exact"/>
        <w:ind w:left="20" w:right="20" w:firstLine="9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разделе II «Сведения о товаре, на поставку которого осуществляется закупка, и об условиях контракта» документации об аукционе указано наименование и характеристика товара: Фильтрующий самоспасатель для индивидуальной защиты органов дыхания и зрения от продуктов горения при эвакуации из задымленных помещений во время пожара, а также от других опасных химических веществ, паров, газов и аэрозолей, в случае техногенных аварий и террористических актов.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Также в разделе II под таблицей установлено следующее: «Качество и безопасность самоспасателя должны подтверждаться сертификатом на соответствие требованиям Технического регламента Таможенного союза ТР ТС 019/2011 «О безопасности средств индивидуальной защиты», по схеме сертификации 1C».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предметом закупки выступает универсальный фильтрующий самоспасатель с возможностью применения как на пожаре, так и при иной чрезвычайной ситуации.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Архангельского УФАС России, заслушав пояснения представителей Заказчика, проанализировав представленные в материалы дела документы, приходит к следующим выводам.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Ключевым условием доступа на рынок является обязательное подтверждение соответствия такого самоспасателя требованиям безопасности, установленным в частности в подпунктах 14 - 15 пункта 4.4 Технического регламента Таможенного союза ТР ТС 019/2011 «О безопасности средств индивидуальной защиты» (далее - ТР ТС 019/2011). Такое подтверждение, в соответствии с пунктом 5.4 ТР ТС 019/2011 и пунктом 17 Приложения № 4 к ТР ТС 019/2011, осуществляется в форме сертификации.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Обоснование требований — защитные характеристики самоспасателя должны быть подтверждены в ходе сертификационных испытаний.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 с Приложением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9 к Договору о Евразийском экономическом союзе, а именно пункте 5, формы, схемы и процедуры оценки соответствия устанавливаются в технических регламентах Союза на основе типовых схем оценки соответствия, утверждаемых Комиссией.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 с пунктом 5.14 ТР ТС 019/2011 при обязательной сертификации для выпускаемых серийно СИЗ, качество которых зависит от показателей безопасности, применяется схема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1C.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При этом под «безопасностью» понимается отсутствие недопустимого риска, связанного с возможностью причинения вреда и (или) нанесения ущерба здоровью людей.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6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Для фильтрующих самоспасателей (объекта закупки) показателями безопасности являются такие показатели как: время защитного действия, сопротивление воздушному потоку, коэффициент подсоса, масса и др. Данные показатели установлены в подпунктах 14, 15 ТР ТС 019/2011.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53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Обязательная сертификация средств индивидуальной защиты проводится в соответствии с Типовыми схемами сертификации, утвержденными решением Комиссии Таможенного союза: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64" w:line="283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- для выпускаемых серийно СИЗ, качество которых зависит от показателей безопасности, применяется схема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>1C.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78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 с пунктом 20 Решения Комиссии Таможенного союза от 07.04.2011 №621 "О Положении о порядке применения типовых схем оценки (подтверждения) соответствия требованиям технических регламентов Таможенного союза" сертификация проводится по Типовой схеме </w:t>
      </w:r>
      <w:r>
        <w:rPr>
          <w:lang w:val="en-US" w:eastAsia="en-US" w:bidi="en-US"/>
          <w:w w:val="100"/>
          <w:spacing w:val="0"/>
          <w:color w:val="000000"/>
          <w:position w:val="0"/>
        </w:rPr>
        <w:t>1C.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пункту 17 Приложения № 4 ТР ТС 019/2011 к схеме сертификации средств индивидуальной защиты органов дыхания фильтрующие относятся: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1C,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ЗС, 4С, 5С, 6С.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пункту 5.14 ТР ТС 019/2011 Сертификация средств индивидуальной защиты осуществляется аккредитованным органом по сертификации, включенным в единый реестр.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Обязательная сертификация осуществляется органом по сертификации на основании договора с заявителем, в качестве которого могут выступать зарегистрированные в соответствии с законодательством государства - члена на ее территории юридическое лицо или физическое лицо в качестве индивидуального предпринимателя, являющиеся изготовителем или продавцом либо выполняющие функции иностранного изготовителя на основании договора с таким изготовителем в части обеспечения соответствия поставляемых средств индивидуальной защиты требованиям настоящего технического регламента Таможенного союза и в части ответственности за несоответствие поставляемых средств индивидуальной защиты требованиям настоящего технического регламента Таможенного союза (лицо, выполняющее функции иностранного изготовителя).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Схема сертификации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1C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в отличие от 5С включает в себя такие процедуры как:</w:t>
      </w:r>
    </w:p>
    <w:p>
      <w:pPr>
        <w:pStyle w:val="Style1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отбор органом по сертификации продукции образцов для проведения испытаний;</w:t>
      </w:r>
    </w:p>
    <w:p>
      <w:pPr>
        <w:pStyle w:val="Style1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проведение испытаний образцов продукции - аккредитованной испытательной лабораторией.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схеме сертификации 5С указанные процедуры отсутствуют, а следовательно отсутствуют сертификационные испытания сертифицированной продукции в аккредитованных лабораториях (на основе анализа производства по результатам собственных испытаний, при которых безопасность и качество продукции не проверяются) для ограниченной партии (единичного изделия).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пояснениям представителей Заказчика, в настоящее время на рынке представлено несколько самоспасателей, выпускаемых серийно, отвечающих всем требованиям документации об аукционе, имеющих сертификат соответствия на требования ТР ТС 019/2011 по схеме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1C </w:t>
      </w:r>
      <w:r>
        <w:rPr>
          <w:lang w:val="ru-RU" w:eastAsia="ru-RU" w:bidi="ru-RU"/>
          <w:w w:val="100"/>
          <w:spacing w:val="0"/>
          <w:color w:val="000000"/>
          <w:position w:val="0"/>
        </w:rPr>
        <w:t>- УФМС «Шанс»-Е производства ООО «НПК Пожхимзащита»; СФ «Прометей» производства ООО «Прометей»; «Зевс-У» производства ОАО «Сорбент».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Таким образом, установленное в документации об аукционе Заказчиком требование о том, что качество и безопасность поставляемых самоспасателей подтверждается сертификатом соответствия на требования ТР ТС 019/2011 по схеме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1C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продиктовано требованиями Закона о сертификации поставляемых самоспасателей, которые обладают более высокими показателями для обеспечения сохранности жизни людей в экстренных ситуациях.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довод является необоснованным.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spacing w:before="0" w:after="0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Заявитель в жалобе также указывает на ошибочность выводов Заказчика в представленных ответах на запрос разъяснений положений документации. Считает, что утверждение Заказчика о более высоких показателях самоспасателей, сертифицированных по схеме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1C,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не соответствует действительности.</w:t>
      </w:r>
    </w:p>
    <w:p>
      <w:pPr>
        <w:pStyle w:val="Style17"/>
        <w:tabs>
          <w:tab w:leader="none" w:pos="1413" w:val="left"/>
          <w:tab w:leader="none" w:pos="2814" w:val="left"/>
          <w:tab w:leader="none" w:pos="9602" w:val="right"/>
        </w:tabs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ответах на запросы разъяснений положений документации от 29.12.2020 №1353222,</w:t>
        <w:tab/>
        <w:t>№1353233,</w:t>
        <w:tab/>
        <w:t>№1353242 Заказчик поясняет следующее:</w:t>
        <w:tab/>
        <w:t>«Сертификация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4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фильтрующих самоспасателей по другим схемам позволяет проводить её без проведения испытаний в аккредитованных лабораториях (на основе анализа производства по результатам собственных испытаний, при которых безопасность и качество продукции не проверяются) для ограниченной партии (единичного изделия). Поставка самоспасателей, сертифицированных по другим схемам, не исключает возможность поставки продукции с низкими качественными показателями объекта закупки. Исходя из требований к сертификации самоспасателя, сертифицированные по схеме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1C,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обладают более высокими показателями для обеспечения сохранности жизни людей в экстренных ситуациях».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Также Заказчик в данных ответах поясняет, что «включил требования о сертификации поставляемых самоспасателей, которые должны соответствовать требованиям пп. 15 п.4.4., п. 5.4 ТР ТС 019/2011 и п. 17 Приложения № 4 к ТР ТС 019/2011 по схеме сертификации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1C,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что не является незаконным и необоснованным требованием, ограничивающим количество участников закупки, по следующим основаниям: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4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Для фильтрующих самоспасателей (объект закупки), сертифицированных по схеме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1C,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защитные характеристики, показатели безопасности подтверждаются протоколами сертификационных испытаний образцов продукции, проводимой независимой аккредитованной испытательной лабораторией».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довод является необоснованным.</w:t>
      </w:r>
      <w:r>
        <w:br w:type="page"/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78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проведении внеплановой проверки на основании пункта 1 части 15 статьи 99 ФЗ «О контрактной системе» данной закупки нарушений законодательства РФ о контрактной системе не выявлено.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279" w:line="278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Руководствуясь пунктом 1 части 15 статьи 99 и частью 8 статьи 106 ФЗ «О контрактной системе», Комиссия Управления Федеральной антимонопольной службы по Архангельской области по контролю в сфере закупок,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03" w:line="230" w:lineRule="exact"/>
        <w:ind w:left="45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453" w:line="230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1. Признать жалобу ООО «Навигатор-Т» необоснованной.</w:t>
      </w:r>
    </w:p>
    <w:p>
      <w:pPr>
        <w:pStyle w:val="Style5"/>
        <w:framePr w:h="229" w:wrap="around" w:vAnchor="text" w:hAnchor="margin" w:x="7689" w:y="1217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6"/>
          <w:b/>
          <w:bCs/>
        </w:rPr>
        <w:t>И.Ю. Короткова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0"/>
      </w:pPr>
      <w:r>
        <w:rPr>
          <w:rStyle w:val="CharStyle27"/>
          <w:i/>
          <w:iCs/>
        </w:rPr>
        <w:t>Примечание.</w:t>
      </w:r>
      <w:r>
        <w:rPr>
          <w:rStyle w:val="CharStyle28"/>
          <w:i/>
          <w:iCs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9 статьи 106 ФЗ «О контрактной системе» решение, принятое по результатам рассмотрения жалобы по существу, может быть обжаловано в судебном порядке в течение трех месяцев со дня его принятия.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20" w:right="0" w:firstLine="0"/>
        <w:sectPr>
          <w:type w:val="continuous"/>
          <w:pgSz w:w="11906" w:h="16838"/>
          <w:pgMar w:top="1031" w:left="1038" w:right="1225" w:bottom="744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</w:t>
      </w:r>
    </w:p>
    <w:p>
      <w:pPr>
        <w:widowControl w:val="0"/>
        <w:spacing w:line="208" w:lineRule="exact"/>
        <w:rPr>
          <w:sz w:val="17"/>
          <w:szCs w:val="17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framePr w:h="220" w:wrap="around" w:vAnchor="text" w:hAnchor="margin" w:x="-7549" w:y="7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</w:pPr>
      <w:r>
        <w:rPr>
          <w:rStyle w:val="CharStyle6"/>
          <w:b/>
          <w:bCs/>
        </w:rPr>
        <w:t>Члены Комиссии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93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Н.В. Вознесенская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center"/>
        <w:spacing w:before="0" w:after="0" w:line="23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Е.Н. Кузнецова</w:t>
      </w:r>
    </w:p>
    <w:sectPr>
      <w:type w:val="continuous"/>
      <w:pgSz w:w="11906" w:h="16838"/>
      <w:pgMar w:top="5399" w:left="8596" w:right="1002" w:bottom="5269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 Exact"/>
    <w:basedOn w:val="DefaultParagraphFont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1"/>
    </w:rPr>
  </w:style>
  <w:style w:type="character" w:customStyle="1" w:styleId="CharStyle6">
    <w:name w:val="Основной текст (3) Exact"/>
    <w:basedOn w:val="DefaultParagraphFont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8">
    <w:name w:val="Основной текст (4) Exact"/>
    <w:basedOn w:val="DefaultParagraphFont"/>
    <w:link w:val="Style7"/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6"/>
    </w:rPr>
  </w:style>
  <w:style w:type="character" w:customStyle="1" w:styleId="CharStyle10">
    <w:name w:val="Основной текст (5) Exact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  <w:spacing w:val="8"/>
    </w:rPr>
  </w:style>
  <w:style w:type="character" w:customStyle="1" w:styleId="CharStyle11">
    <w:name w:val="Основной текст (5) Exact"/>
    <w:basedOn w:val="CharStyle10"/>
    <w:rPr>
      <w:lang w:val="en-US" w:eastAsia="en-US" w:bidi="en-US"/>
      <w:u w:val="single"/>
      <w:w w:val="100"/>
      <w:color w:val="000000"/>
      <w:position w:val="0"/>
    </w:rPr>
  </w:style>
  <w:style w:type="character" w:customStyle="1" w:styleId="CharStyle13">
    <w:name w:val="Основной текст (6) Exact"/>
    <w:basedOn w:val="DefaultParagraphFont"/>
    <w:link w:val="Style12"/>
    <w:rPr>
      <w:b w:val="0"/>
      <w:bCs w:val="0"/>
      <w:i/>
      <w:iCs/>
      <w:u w:val="none"/>
      <w:strike w:val="0"/>
      <w:smallCaps w:val="0"/>
      <w:sz w:val="58"/>
      <w:szCs w:val="58"/>
      <w:rFonts w:ascii="Times New Roman" w:eastAsia="Times New Roman" w:hAnsi="Times New Roman" w:cs="Times New Roman"/>
      <w:spacing w:val="-31"/>
    </w:rPr>
  </w:style>
  <w:style w:type="character" w:customStyle="1" w:styleId="CharStyle14">
    <w:name w:val="Основной текст (6) + 10 pt,Не курсив,Интервал 0 pt Exact"/>
    <w:basedOn w:val="CharStyle13"/>
    <w:rPr>
      <w:lang w:val="ru-RU" w:eastAsia="ru-RU" w:bidi="ru-RU"/>
      <w:i/>
      <w:iCs/>
      <w:sz w:val="20"/>
      <w:szCs w:val="20"/>
      <w:w w:val="100"/>
      <w:spacing w:val="0"/>
      <w:color w:val="000000"/>
      <w:position w:val="0"/>
    </w:rPr>
  </w:style>
  <w:style w:type="character" w:customStyle="1" w:styleId="CharStyle15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16">
    <w:name w:val="Основной текст (2)"/>
    <w:basedOn w:val="CharStyle15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8">
    <w:name w:val="Основной текст_"/>
    <w:basedOn w:val="DefaultParagraphFont"/>
    <w:link w:val="Style17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9">
    <w:name w:val="Основной текст + 7,5 pt"/>
    <w:basedOn w:val="CharStyle18"/>
    <w:rPr>
      <w:lang w:val="ru-RU" w:eastAsia="ru-RU" w:bidi="ru-RU"/>
      <w:sz w:val="15"/>
      <w:szCs w:val="15"/>
      <w:w w:val="100"/>
      <w:spacing w:val="0"/>
      <w:color w:val="000000"/>
      <w:position w:val="0"/>
    </w:rPr>
  </w:style>
  <w:style w:type="character" w:customStyle="1" w:styleId="CharStyle20">
    <w:name w:val="Основной текст + Полужирный"/>
    <w:basedOn w:val="CharStyle18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1">
    <w:name w:val="Основной текст (3)_"/>
    <w:basedOn w:val="DefaultParagraphFont"/>
    <w:link w:val="Style5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22">
    <w:name w:val="Основной текст (3)"/>
    <w:basedOn w:val="CharStyle21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24">
    <w:name w:val="Основной текст (7)_"/>
    <w:basedOn w:val="DefaultParagraphFont"/>
    <w:link w:val="Style23"/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26">
    <w:name w:val="Основной текст (8)_"/>
    <w:basedOn w:val="DefaultParagraphFont"/>
    <w:link w:val="Style25"/>
    <w:rPr>
      <w:b w:val="0"/>
      <w:bCs w:val="0"/>
      <w:i/>
      <w:iCs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27">
    <w:name w:val="Основной текст (8) + Полужирный"/>
    <w:basedOn w:val="CharStyle26"/>
    <w:rPr>
      <w:lang w:val="ru-RU" w:eastAsia="ru-RU" w:bidi="ru-RU"/>
      <w:b/>
      <w:bCs/>
      <w:u w:val="single"/>
      <w:w w:val="100"/>
      <w:spacing w:val="0"/>
      <w:color w:val="000000"/>
      <w:position w:val="0"/>
    </w:rPr>
  </w:style>
  <w:style w:type="character" w:customStyle="1" w:styleId="CharStyle28">
    <w:name w:val="Основной текст (8) + Полужирный"/>
    <w:basedOn w:val="CharStyle26"/>
    <w:rPr>
      <w:lang w:val="ru-RU" w:eastAsia="ru-RU" w:bidi="ru-RU"/>
      <w:b/>
      <w:bCs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15"/>
    <w:pPr>
      <w:widowControl w:val="0"/>
      <w:shd w:val="clear" w:color="auto" w:fill="FFFFFF"/>
      <w:jc w:val="both"/>
      <w:spacing w:after="180" w:line="254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21"/>
    <w:pPr>
      <w:widowControl w:val="0"/>
      <w:shd w:val="clear" w:color="auto" w:fill="FFFFFF"/>
      <w:jc w:val="both"/>
      <w:spacing w:after="180" w:line="0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FFFFFF"/>
      <w:jc w:val="center"/>
      <w:spacing w:before="120" w:after="120" w:line="245" w:lineRule="exact"/>
    </w:pPr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6"/>
    </w:rPr>
  </w:style>
  <w:style w:type="paragraph" w:customStyle="1" w:styleId="Style9">
    <w:name w:val="Основной текст (5)"/>
    <w:basedOn w:val="Normal"/>
    <w:link w:val="CharStyle10"/>
    <w:pPr>
      <w:widowControl w:val="0"/>
      <w:shd w:val="clear" w:color="auto" w:fill="FFFFFF"/>
      <w:jc w:val="center"/>
      <w:spacing w:before="120" w:after="540" w:line="202" w:lineRule="exact"/>
    </w:pPr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  <w:spacing w:val="8"/>
    </w:rPr>
  </w:style>
  <w:style w:type="paragraph" w:customStyle="1" w:styleId="Style12">
    <w:name w:val="Основной текст (6)"/>
    <w:basedOn w:val="Normal"/>
    <w:link w:val="CharStyle13"/>
    <w:pPr>
      <w:widowControl w:val="0"/>
      <w:shd w:val="clear" w:color="auto" w:fill="FFFFFF"/>
      <w:spacing w:before="540" w:after="360" w:line="0" w:lineRule="exact"/>
    </w:pPr>
    <w:rPr>
      <w:b w:val="0"/>
      <w:bCs w:val="0"/>
      <w:i/>
      <w:iCs/>
      <w:u w:val="none"/>
      <w:strike w:val="0"/>
      <w:smallCaps w:val="0"/>
      <w:sz w:val="58"/>
      <w:szCs w:val="58"/>
      <w:rFonts w:ascii="Times New Roman" w:eastAsia="Times New Roman" w:hAnsi="Times New Roman" w:cs="Times New Roman"/>
      <w:spacing w:val="-31"/>
    </w:rPr>
  </w:style>
  <w:style w:type="paragraph" w:customStyle="1" w:styleId="Style17">
    <w:name w:val="Основной текст"/>
    <w:basedOn w:val="Normal"/>
    <w:link w:val="CharStyle18"/>
    <w:pPr>
      <w:widowControl w:val="0"/>
      <w:shd w:val="clear" w:color="auto" w:fill="FFFFFF"/>
      <w:jc w:val="both"/>
      <w:spacing w:after="180" w:line="250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23">
    <w:name w:val="Основной текст (7)"/>
    <w:basedOn w:val="Normal"/>
    <w:link w:val="CharStyle24"/>
    <w:pPr>
      <w:widowControl w:val="0"/>
      <w:shd w:val="clear" w:color="auto" w:fill="FFFFFF"/>
      <w:jc w:val="both"/>
      <w:spacing w:line="269" w:lineRule="exact"/>
    </w:pPr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25">
    <w:name w:val="Основной текст (8)"/>
    <w:basedOn w:val="Normal"/>
    <w:link w:val="CharStyle26"/>
    <w:pPr>
      <w:widowControl w:val="0"/>
      <w:shd w:val="clear" w:color="auto" w:fill="FFFFFF"/>
      <w:jc w:val="both"/>
      <w:spacing w:before="540" w:line="226" w:lineRule="exact"/>
    </w:pPr>
    <w:rPr>
      <w:b w:val="0"/>
      <w:bCs w:val="0"/>
      <w:i/>
      <w:iCs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