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0" w:after="0"/>
        <w:ind w:left="0" w:right="0" w:firstLine="0"/>
      </w:pPr>
      <w:r>
        <w:rPr>
          <w:lang w:val="ru-RU" w:eastAsia="ru-RU" w:bidi="ru-RU"/>
          <w:w w:val="100"/>
          <w:spacing w:val="0"/>
          <w:color w:val="000000"/>
          <w:position w:val="0"/>
        </w:rPr>
        <w:t>Оператор электронной площадки:</w:t>
      </w:r>
    </w:p>
    <w:p>
      <w:pPr>
        <w:pStyle w:val="Style10"/>
        <w:widowControl w:val="0"/>
        <w:keepNext w:val="0"/>
        <w:keepLines w:val="0"/>
        <w:shd w:val="clear" w:color="auto" w:fill="auto"/>
        <w:bidi w:val="0"/>
        <w:spacing w:before="0" w:after="0"/>
        <w:ind w:left="0" w:right="0" w:firstLine="0"/>
      </w:pPr>
      <w:r>
        <w:rPr>
          <w:lang w:val="ru-RU" w:eastAsia="ru-RU" w:bidi="ru-RU"/>
          <w:w w:val="100"/>
          <w:spacing w:val="0"/>
          <w:color w:val="000000"/>
          <w:position w:val="0"/>
        </w:rPr>
        <w:t>ООО "РТС-тендер"</w:t>
      </w:r>
    </w:p>
    <w:p>
      <w:pPr>
        <w:pStyle w:val="Style3"/>
        <w:framePr w:w="4134" w:h="3373" w:wrap="around" w:vAnchor="text" w:hAnchor="margin" w:x="192" w:y="762"/>
        <w:widowControl w:val="0"/>
        <w:keepNext w:val="0"/>
        <w:keepLines w:val="0"/>
        <w:shd w:val="clear" w:color="auto" w:fill="auto"/>
        <w:bidi w:val="0"/>
        <w:jc w:val="center"/>
        <w:spacing w:before="0" w:after="123" w:line="277" w:lineRule="exact"/>
        <w:ind w:left="40" w:right="0" w:firstLine="0"/>
      </w:pPr>
      <w:r>
        <w:rPr>
          <w:rStyle w:val="CharStyle4"/>
          <w:b/>
          <w:bCs/>
          <w:spacing w:val="0"/>
        </w:rPr>
        <w:t>ФЕДЕРАЛЬНАЯ АНТИМОНОПОЛЬНАЯ СЛУЖБА</w:t>
      </w:r>
    </w:p>
    <w:p>
      <w:pPr>
        <w:pStyle w:val="Style5"/>
        <w:framePr w:w="4134" w:h="3373" w:wrap="around" w:vAnchor="text" w:hAnchor="margin" w:x="192" w:y="762"/>
        <w:widowControl w:val="0"/>
        <w:keepNext w:val="0"/>
        <w:keepLines w:val="0"/>
        <w:shd w:val="clear" w:color="auto" w:fill="auto"/>
        <w:bidi w:val="0"/>
        <w:spacing w:before="0" w:after="0"/>
        <w:ind w:left="40" w:right="0" w:firstLine="0"/>
      </w:pPr>
      <w:r>
        <w:rPr>
          <w:lang w:val="ru-RU" w:eastAsia="ru-RU" w:bidi="ru-RU"/>
          <w:w w:val="100"/>
          <w:spacing w:val="20"/>
          <w:color w:val="000000"/>
          <w:position w:val="0"/>
        </w:rPr>
        <w:t>УПРАВЛЕНИЕ</w:t>
      </w:r>
    </w:p>
    <w:p>
      <w:pPr>
        <w:pStyle w:val="Style3"/>
        <w:framePr w:w="4134" w:h="3373" w:wrap="around" w:vAnchor="text" w:hAnchor="margin" w:x="192" w:y="762"/>
        <w:widowControl w:val="0"/>
        <w:keepNext w:val="0"/>
        <w:keepLines w:val="0"/>
        <w:shd w:val="clear" w:color="auto" w:fill="auto"/>
        <w:bidi w:val="0"/>
        <w:jc w:val="center"/>
        <w:spacing w:before="0" w:after="0"/>
        <w:ind w:left="40" w:right="0" w:firstLine="0"/>
      </w:pPr>
      <w:r>
        <w:rPr>
          <w:rStyle w:val="CharStyle4"/>
          <w:b/>
          <w:bCs/>
          <w:spacing w:val="0"/>
        </w:rPr>
        <w:t>Федеральной антимонопольной службы по Ханты-Мансийскому автономному округу - Югре</w:t>
      </w:r>
    </w:p>
    <w:p>
      <w:pPr>
        <w:pStyle w:val="Style7"/>
        <w:framePr w:w="4134" w:h="3373" w:wrap="around" w:vAnchor="text" w:hAnchor="margin" w:x="192" w:y="762"/>
        <w:widowControl w:val="0"/>
        <w:keepNext w:val="0"/>
        <w:keepLines w:val="0"/>
        <w:shd w:val="clear" w:color="auto" w:fill="auto"/>
        <w:bidi w:val="0"/>
        <w:spacing w:before="0" w:after="204"/>
        <w:ind w:left="40" w:right="0" w:firstLine="0"/>
      </w:pPr>
      <w:r>
        <w:rPr>
          <w:lang w:val="ru-RU" w:eastAsia="ru-RU" w:bidi="ru-RU"/>
          <w:w w:val="100"/>
          <w:spacing w:val="10"/>
          <w:color w:val="000000"/>
          <w:position w:val="0"/>
        </w:rPr>
        <w:t xml:space="preserve">ул. Мира, 27, г. Ханты-Мансийск, 628002 тел. (3467) 38-80-81 </w:t>
      </w:r>
      <w:r>
        <w:rPr>
          <w:lang w:val="en-US" w:eastAsia="en-US" w:bidi="en-US"/>
          <w:w w:val="100"/>
          <w:spacing w:val="10"/>
          <w:color w:val="000000"/>
          <w:position w:val="0"/>
        </w:rPr>
        <w:t xml:space="preserve">e-mail: </w:t>
      </w:r>
      <w:r>
        <w:fldChar w:fldCharType="begin"/>
      </w:r>
      <w:r>
        <w:rPr>
          <w:rStyle w:val="CharStyle9"/>
        </w:rPr>
        <w:instrText> HYPERLINK "mailto:to86@fas.gov.iTi" </w:instrText>
      </w:r>
      <w:r>
        <w:fldChar w:fldCharType="separate"/>
      </w:r>
      <w:r>
        <w:rPr>
          <w:rStyle w:val="Hyperlink"/>
          <w:spacing w:val="0"/>
        </w:rPr>
        <w:t>to86@fas.gov.iTi</w:t>
      </w:r>
      <w:r>
        <w:fldChar w:fldCharType="end"/>
      </w:r>
    </w:p>
    <w:p>
      <w:pPr>
        <w:pStyle w:val="Style10"/>
        <w:framePr w:w="4134" w:h="3373" w:wrap="around" w:vAnchor="text" w:hAnchor="margin" w:x="192" w:y="762"/>
        <w:tabs>
          <w:tab w:leader="none" w:pos="1249" w:val="left"/>
          <w:tab w:leader="none" w:pos="2077" w:val="center"/>
          <w:tab w:leader="none" w:pos="3024" w:val="right"/>
          <w:tab w:leader="none" w:pos="3348" w:val="center"/>
          <w:tab w:leader="none" w:pos="3560" w:val="center"/>
        </w:tabs>
        <w:widowControl w:val="0"/>
        <w:keepNext w:val="0"/>
        <w:keepLines w:val="0"/>
        <w:shd w:val="clear" w:color="auto" w:fill="auto"/>
        <w:bidi w:val="0"/>
        <w:jc w:val="both"/>
        <w:spacing w:before="0" w:after="0" w:line="200" w:lineRule="exact"/>
        <w:ind w:left="0" w:right="0" w:firstLine="0"/>
      </w:pPr>
      <w:r>
        <w:rPr>
          <w:rStyle w:val="CharStyle12"/>
        </w:rPr>
        <w:t>С'З £'?■</w:t>
      </w:r>
      <w:r>
        <w:rPr>
          <w:rStyle w:val="CharStyle13"/>
          <w:lang w:val="ru-RU" w:eastAsia="ru-RU" w:bidi="ru-RU"/>
          <w:spacing w:val="0"/>
        </w:rPr>
        <w:tab/>
      </w:r>
      <w:r>
        <w:rPr>
          <w:rStyle w:val="CharStyle14"/>
          <w:spacing w:val="0"/>
        </w:rPr>
        <w:t>2021</w:t>
      </w:r>
      <w:r>
        <w:rPr>
          <w:rStyle w:val="CharStyle11"/>
          <w:spacing w:val="0"/>
        </w:rPr>
        <w:tab/>
        <w:t>№</w:t>
        <w:tab/>
      </w:r>
      <w:r>
        <w:rPr>
          <w:rStyle w:val="CharStyle14"/>
          <w:spacing w:val="0"/>
        </w:rPr>
        <w:t>03/ТИ-</w:t>
        <w:tab/>
      </w:r>
      <w:r>
        <w:rPr>
          <w:rStyle w:val="CharStyle12"/>
        </w:rPr>
        <w:t>5</w:t>
        <w:tab/>
        <w:t>$</w:t>
      </w:r>
    </w:p>
    <w:p>
      <w:pPr>
        <w:pStyle w:val="Style10"/>
        <w:widowControl w:val="0"/>
        <w:keepNext w:val="0"/>
        <w:keepLines w:val="0"/>
        <w:shd w:val="clear" w:color="auto" w:fill="auto"/>
        <w:bidi w:val="0"/>
        <w:spacing w:before="0" w:after="0"/>
        <w:ind w:left="0" w:right="0" w:firstLine="0"/>
      </w:pPr>
      <w:r>
        <w:rPr>
          <w:lang w:val="ru-RU" w:eastAsia="ru-RU" w:bidi="ru-RU"/>
          <w:w w:val="100"/>
          <w:spacing w:val="0"/>
          <w:color w:val="000000"/>
          <w:position w:val="0"/>
        </w:rPr>
        <w:t xml:space="preserve">121151, г. Москва, набережная Тараса Шевченко, </w:t>
      </w:r>
      <w:r>
        <w:rPr>
          <w:rStyle w:val="CharStyle17"/>
        </w:rPr>
        <w:t xml:space="preserve">Д.23А </w:t>
      </w:r>
      <w:r>
        <w:rPr>
          <w:lang w:val="ru-RU" w:eastAsia="ru-RU" w:bidi="ru-RU"/>
          <w:w w:val="100"/>
          <w:spacing w:val="0"/>
          <w:color w:val="000000"/>
          <w:position w:val="0"/>
        </w:rPr>
        <w:t xml:space="preserve">тел.: (495)7339519, (800) 7755800 </w:t>
      </w:r>
      <w:r>
        <w:rPr>
          <w:lang w:val="en-US" w:eastAsia="en-US" w:bidi="en-US"/>
          <w:w w:val="100"/>
          <w:spacing w:val="0"/>
          <w:color w:val="000000"/>
          <w:position w:val="0"/>
        </w:rPr>
        <w:t xml:space="preserve">e-mail: ko@i*ts-tender.ru </w:t>
      </w:r>
      <w:r>
        <w:rPr>
          <w:rStyle w:val="CharStyle18"/>
        </w:rPr>
        <w:t>Заявитель:</w:t>
      </w:r>
    </w:p>
    <w:p>
      <w:pPr>
        <w:pStyle w:val="Style10"/>
        <w:widowControl w:val="0"/>
        <w:keepNext w:val="0"/>
        <w:keepLines w:val="0"/>
        <w:shd w:val="clear" w:color="auto" w:fill="auto"/>
        <w:bidi w:val="0"/>
        <w:spacing w:before="0" w:after="0"/>
        <w:ind w:left="0" w:right="0" w:firstLine="0"/>
      </w:pPr>
      <w:r>
        <w:rPr>
          <w:lang w:val="ru-RU" w:eastAsia="ru-RU" w:bidi="ru-RU"/>
          <w:w w:val="100"/>
          <w:spacing w:val="0"/>
          <w:color w:val="000000"/>
          <w:position w:val="0"/>
        </w:rPr>
        <w:t>ООО «ТехСтройПартнер»</w:t>
      </w:r>
    </w:p>
    <w:p>
      <w:pPr>
        <w:pStyle w:val="Style10"/>
        <w:widowControl w:val="0"/>
        <w:keepNext w:val="0"/>
        <w:keepLines w:val="0"/>
        <w:shd w:val="clear" w:color="auto" w:fill="auto"/>
        <w:bidi w:val="0"/>
        <w:spacing w:before="0" w:after="0"/>
        <w:ind w:left="0" w:right="0" w:firstLine="0"/>
      </w:pPr>
      <w:r>
        <w:rPr>
          <w:lang w:val="ru-RU" w:eastAsia="ru-RU" w:bidi="ru-RU"/>
          <w:w w:val="100"/>
          <w:spacing w:val="0"/>
          <w:color w:val="000000"/>
          <w:position w:val="0"/>
        </w:rPr>
        <w:t>656016, Алтайский край, город Барнаул,</w:t>
      </w:r>
    </w:p>
    <w:p>
      <w:pPr>
        <w:pStyle w:val="Style10"/>
        <w:widowControl w:val="0"/>
        <w:keepNext w:val="0"/>
        <w:keepLines w:val="0"/>
        <w:shd w:val="clear" w:color="auto" w:fill="auto"/>
        <w:bidi w:val="0"/>
        <w:jc w:val="both"/>
        <w:spacing w:before="0" w:after="0"/>
        <w:ind w:left="0" w:right="0" w:firstLine="0"/>
      </w:pPr>
      <w:r>
        <w:rPr>
          <w:lang w:val="ru-RU" w:eastAsia="ru-RU" w:bidi="ru-RU"/>
          <w:w w:val="100"/>
          <w:spacing w:val="0"/>
          <w:color w:val="000000"/>
          <w:position w:val="0"/>
        </w:rPr>
        <w:t xml:space="preserve">Власихинская улица, дом 49/1, офис 141 Тел.: 8(913)-242-30-31 </w:t>
      </w:r>
      <w:r>
        <w:rPr>
          <w:lang w:val="en-US" w:eastAsia="en-US" w:bidi="en-US"/>
          <w:w w:val="100"/>
          <w:spacing w:val="0"/>
          <w:color w:val="000000"/>
          <w:position w:val="0"/>
        </w:rPr>
        <w:t xml:space="preserve">e-mail: </w:t>
      </w:r>
      <w:r>
        <w:fldChar w:fldCharType="begin"/>
      </w:r>
      <w:r>
        <w:rPr>
          <w:color w:val="000000"/>
        </w:rPr>
        <w:instrText> HYPERLINK "mailto:bolshunovl990@bk.ru" </w:instrText>
      </w:r>
      <w:r>
        <w:fldChar w:fldCharType="separate"/>
      </w:r>
      <w:r>
        <w:rPr>
          <w:rStyle w:val="Hyperlink"/>
          <w:lang w:val="en-US" w:eastAsia="en-US" w:bidi="en-US"/>
          <w:w w:val="100"/>
          <w:spacing w:val="0"/>
          <w:position w:val="0"/>
        </w:rPr>
        <w:t>bolshunovl990@bk.ru</w:t>
      </w:r>
      <w:r>
        <w:fldChar w:fldCharType="end"/>
      </w:r>
      <w:r>
        <w:rPr>
          <w:lang w:val="en-US" w:eastAsia="en-US" w:bidi="en-US"/>
          <w:w w:val="100"/>
          <w:spacing w:val="0"/>
          <w:color w:val="000000"/>
          <w:position w:val="0"/>
        </w:rPr>
        <w:t xml:space="preserve"> </w:t>
      </w:r>
      <w:r>
        <w:rPr>
          <w:rStyle w:val="CharStyle18"/>
        </w:rPr>
        <w:t>Заказчик:</w:t>
      </w:r>
    </w:p>
    <w:p>
      <w:pPr>
        <w:pStyle w:val="Style10"/>
        <w:widowControl w:val="0"/>
        <w:keepNext w:val="0"/>
        <w:keepLines w:val="0"/>
        <w:shd w:val="clear" w:color="auto" w:fill="auto"/>
        <w:bidi w:val="0"/>
        <w:jc w:val="left"/>
        <w:spacing w:before="0" w:after="0"/>
        <w:ind w:left="0" w:right="0" w:firstLine="0"/>
      </w:pPr>
      <w:r>
        <w:rPr>
          <w:lang w:val="ru-RU" w:eastAsia="ru-RU" w:bidi="ru-RU"/>
          <w:w w:val="100"/>
          <w:spacing w:val="0"/>
          <w:color w:val="000000"/>
          <w:position w:val="0"/>
        </w:rPr>
        <w:t xml:space="preserve">Муниципальное казённое учреждение "Служба единого заказчика по эксплуатации объектов социальной сферы" Сургутского района 628433, Ханты-Мансийский автономный округ - Югра автономный, Сургутский район, поселок го Белый Яр, улица Маяковского, дом 1А Тел.: 83462516880; 83462376049 </w:t>
      </w:r>
      <w:r>
        <w:rPr>
          <w:lang w:val="en-US" w:eastAsia="en-US" w:bidi="en-US"/>
          <w:w w:val="100"/>
          <w:spacing w:val="0"/>
          <w:color w:val="000000"/>
          <w:position w:val="0"/>
        </w:rPr>
        <w:t xml:space="preserve">e-mail: </w:t>
      </w:r>
      <w:r>
        <w:fldChar w:fldCharType="begin"/>
      </w:r>
      <w:r>
        <w:rPr>
          <w:rStyle w:val="CharStyle19"/>
        </w:rPr>
        <w:instrText> HYPERLINK "mailto:sez@admsr.ru" </w:instrText>
      </w:r>
      <w:r>
        <w:fldChar w:fldCharType="separate"/>
      </w:r>
      <w:r>
        <w:rPr>
          <w:rStyle w:val="Hyperlink"/>
        </w:rPr>
        <w:t>sez@admsr.ru</w:t>
      </w:r>
      <w:r>
        <w:fldChar w:fldCharType="end"/>
      </w:r>
      <w:r>
        <w:rPr>
          <w:rStyle w:val="CharStyle19"/>
        </w:rPr>
        <w:t xml:space="preserve"> </w:t>
      </w:r>
      <w:r>
        <w:fldChar w:fldCharType="begin"/>
      </w:r>
      <w:r>
        <w:rPr>
          <w:rStyle w:val="CharStyle19"/>
        </w:rPr>
        <w:instrText> HYPERLINK "mailto:ootr@inbox.ru" </w:instrText>
      </w:r>
      <w:r>
        <w:fldChar w:fldCharType="separate"/>
      </w:r>
      <w:r>
        <w:rPr>
          <w:rStyle w:val="Hyperlink"/>
        </w:rPr>
        <w:t>ootr@inbox.ru</w:t>
      </w:r>
      <w:r>
        <w:fldChar w:fldCharType="end"/>
      </w:r>
      <w:r>
        <w:rPr>
          <w:lang w:val="en-US" w:eastAsia="en-US" w:bidi="en-US"/>
          <w:w w:val="100"/>
          <w:spacing w:val="0"/>
          <w:color w:val="000000"/>
          <w:position w:val="0"/>
        </w:rPr>
        <w:t xml:space="preserve"> </w:t>
      </w:r>
      <w:r>
        <w:rPr>
          <w:rStyle w:val="CharStyle18"/>
        </w:rPr>
        <w:t>Уполномоченный орган:</w:t>
      </w:r>
    </w:p>
    <w:p>
      <w:pPr>
        <w:pStyle w:val="Style10"/>
        <w:widowControl w:val="0"/>
        <w:keepNext w:val="0"/>
        <w:keepLines w:val="0"/>
        <w:shd w:val="clear" w:color="auto" w:fill="auto"/>
        <w:bidi w:val="0"/>
        <w:jc w:val="left"/>
        <w:spacing w:before="0" w:after="291"/>
        <w:ind w:left="4620" w:right="660" w:firstLine="0"/>
      </w:pPr>
      <w:r>
        <w:rPr>
          <w:lang w:val="ru-RU" w:eastAsia="ru-RU" w:bidi="ru-RU"/>
          <w:w w:val="100"/>
          <w:spacing w:val="0"/>
          <w:color w:val="000000"/>
          <w:position w:val="0"/>
        </w:rPr>
        <w:t xml:space="preserve">Администрация Сургутского района 628400, Ханты - Мансийский автономный округ - Югра, г. Сургут, ул. Бажова, 16 Тел.: (3462) 529-058 </w:t>
      </w:r>
      <w:r>
        <w:rPr>
          <w:lang w:val="en-US" w:eastAsia="en-US" w:bidi="en-US"/>
          <w:w w:val="100"/>
          <w:spacing w:val="0"/>
          <w:color w:val="000000"/>
          <w:position w:val="0"/>
        </w:rPr>
        <w:t xml:space="preserve">e-mail: </w:t>
      </w:r>
      <w:r>
        <w:fldChar w:fldCharType="begin"/>
      </w:r>
      <w:r>
        <w:rPr>
          <w:rStyle w:val="CharStyle19"/>
        </w:rPr>
        <w:instrText> HYPERLINK "mailto:zakaz@admsr.ru" </w:instrText>
      </w:r>
      <w:r>
        <w:fldChar w:fldCharType="separate"/>
      </w:r>
      <w:r>
        <w:rPr>
          <w:rStyle w:val="Hyperlink"/>
        </w:rPr>
        <w:t>zakaz@admsr.ru</w:t>
      </w:r>
      <w:r>
        <w:fldChar w:fldCharType="end"/>
      </w:r>
    </w:p>
    <w:p>
      <w:pPr>
        <w:pStyle w:val="Style20"/>
        <w:widowControl w:val="0"/>
        <w:keepNext/>
        <w:keepLines/>
        <w:shd w:val="clear" w:color="auto" w:fill="auto"/>
        <w:bidi w:val="0"/>
        <w:spacing w:before="0" w:after="215" w:line="210" w:lineRule="exact"/>
        <w:ind w:left="0" w:right="0" w:firstLine="0"/>
      </w:pPr>
      <w:bookmarkStart w:id="0" w:name="bookmark0"/>
      <w:r>
        <w:rPr>
          <w:lang w:val="ru-RU" w:eastAsia="ru-RU" w:bidi="ru-RU"/>
          <w:w w:val="100"/>
          <w:spacing w:val="0"/>
          <w:color w:val="000000"/>
          <w:position w:val="0"/>
        </w:rPr>
        <w:t>РЕШЕНИЕ № 086/06/34-191/2021</w:t>
      </w:r>
      <w:bookmarkEnd w:id="0"/>
    </w:p>
    <w:p>
      <w:pPr>
        <w:pStyle w:val="Style10"/>
        <w:tabs>
          <w:tab w:leader="none" w:pos="8075" w:val="right"/>
          <w:tab w:leader="none" w:pos="8224" w:val="left"/>
        </w:tabs>
        <w:widowControl w:val="0"/>
        <w:keepNext w:val="0"/>
        <w:keepLines w:val="0"/>
        <w:shd w:val="clear" w:color="auto" w:fill="auto"/>
        <w:bidi w:val="0"/>
        <w:jc w:val="both"/>
        <w:spacing w:before="0" w:after="0"/>
        <w:ind w:left="0" w:right="0" w:firstLine="0"/>
      </w:pPr>
      <w:r>
        <w:rPr>
          <w:lang w:val="ru-RU" w:eastAsia="ru-RU" w:bidi="ru-RU"/>
          <w:w w:val="100"/>
          <w:spacing w:val="0"/>
          <w:color w:val="000000"/>
          <w:position w:val="0"/>
        </w:rPr>
        <w:t>Резолютивная часть объявлена 09.02.2021</w:t>
        <w:tab/>
        <w:t>г.</w:t>
        <w:tab/>
        <w:t>Ханты-Мансийск</w:t>
      </w:r>
    </w:p>
    <w:p>
      <w:pPr>
        <w:pStyle w:val="Style10"/>
        <w:widowControl w:val="0"/>
        <w:keepNext w:val="0"/>
        <w:keepLines w:val="0"/>
        <w:shd w:val="clear" w:color="auto" w:fill="auto"/>
        <w:bidi w:val="0"/>
        <w:jc w:val="both"/>
        <w:spacing w:before="0" w:after="243"/>
        <w:ind w:left="0" w:right="0" w:firstLine="0"/>
      </w:pPr>
      <w:r>
        <w:rPr>
          <w:lang w:val="ru-RU" w:eastAsia="ru-RU" w:bidi="ru-RU"/>
          <w:w w:val="100"/>
          <w:spacing w:val="0"/>
          <w:color w:val="000000"/>
          <w:position w:val="0"/>
        </w:rPr>
        <w:t>Изготовлено в полном объеме 09.02.2021</w:t>
      </w:r>
    </w:p>
    <w:p>
      <w:pPr>
        <w:pStyle w:val="Style10"/>
        <w:widowControl w:val="0"/>
        <w:keepNext w:val="0"/>
        <w:keepLines w:val="0"/>
        <w:shd w:val="clear" w:color="auto" w:fill="auto"/>
        <w:bidi w:val="0"/>
        <w:jc w:val="both"/>
        <w:spacing w:before="0" w:after="234" w:line="270" w:lineRule="exact"/>
        <w:ind w:left="0" w:right="0" w:firstLine="700"/>
      </w:pPr>
      <w:r>
        <w:rPr>
          <w:lang w:val="ru-RU" w:eastAsia="ru-RU" w:bidi="ru-RU"/>
          <w:w w:val="100"/>
          <w:spacing w:val="0"/>
          <w:color w:val="000000"/>
          <w:position w:val="0"/>
        </w:rPr>
        <w:t>Комиссия Управления Федеральной антимонопольной службы по Ханты-Мансийскому автономному округу - Югре (далее - Комиссия Управления) по контролю в сфере закупок товаров, работ, услуг для обеспечения государственных и муниципальных нужд в составе:</w:t>
      </w:r>
    </w:p>
    <w:p>
      <w:pPr>
        <w:pStyle w:val="Style10"/>
        <w:widowControl w:val="0"/>
        <w:keepNext w:val="0"/>
        <w:keepLines w:val="0"/>
        <w:shd w:val="clear" w:color="auto" w:fill="auto"/>
        <w:bidi w:val="0"/>
        <w:jc w:val="both"/>
        <w:spacing w:before="0" w:after="0" w:line="277" w:lineRule="exact"/>
        <w:ind w:left="0" w:right="0" w:firstLine="700"/>
      </w:pPr>
      <w:r>
        <w:rPr>
          <w:lang w:val="ru-RU" w:eastAsia="ru-RU" w:bidi="ru-RU"/>
          <w:w w:val="100"/>
          <w:spacing w:val="0"/>
          <w:color w:val="000000"/>
          <w:position w:val="0"/>
        </w:rPr>
        <w:t>Председателя комиссии:</w:t>
      </w:r>
    </w:p>
    <w:p>
      <w:pPr>
        <w:pStyle w:val="Style10"/>
        <w:widowControl w:val="0"/>
        <w:keepNext w:val="0"/>
        <w:keepLines w:val="0"/>
        <w:shd w:val="clear" w:color="auto" w:fill="auto"/>
        <w:bidi w:val="0"/>
        <w:jc w:val="both"/>
        <w:spacing w:before="0" w:after="0" w:line="277" w:lineRule="exact"/>
        <w:ind w:left="0" w:right="0" w:firstLine="700"/>
      </w:pPr>
      <w:r>
        <w:rPr>
          <w:lang w:val="ru-RU" w:eastAsia="ru-RU" w:bidi="ru-RU"/>
          <w:w w:val="100"/>
          <w:spacing w:val="0"/>
          <w:color w:val="000000"/>
          <w:position w:val="0"/>
        </w:rPr>
        <w:t>-Миронов А.Г. - Заместитель руководителя Управления;</w:t>
      </w:r>
    </w:p>
    <w:p>
      <w:pPr>
        <w:pStyle w:val="Style10"/>
        <w:widowControl w:val="0"/>
        <w:keepNext w:val="0"/>
        <w:keepLines w:val="0"/>
        <w:shd w:val="clear" w:color="auto" w:fill="auto"/>
        <w:bidi w:val="0"/>
        <w:jc w:val="both"/>
        <w:spacing w:before="0" w:after="0" w:line="277" w:lineRule="exact"/>
        <w:ind w:left="0" w:right="0" w:firstLine="700"/>
      </w:pPr>
      <w:r>
        <w:rPr>
          <w:lang w:val="ru-RU" w:eastAsia="ru-RU" w:bidi="ru-RU"/>
          <w:w w:val="100"/>
          <w:spacing w:val="0"/>
          <w:color w:val="000000"/>
          <w:position w:val="0"/>
        </w:rPr>
        <w:t>Членов комиссии:</w:t>
      </w:r>
    </w:p>
    <w:p>
      <w:pPr>
        <w:pStyle w:val="Style10"/>
        <w:numPr>
          <w:ilvl w:val="0"/>
          <w:numId w:val="1"/>
        </w:numPr>
        <w:widowControl w:val="0"/>
        <w:keepNext w:val="0"/>
        <w:keepLines w:val="0"/>
        <w:shd w:val="clear" w:color="auto" w:fill="auto"/>
        <w:bidi w:val="0"/>
        <w:jc w:val="both"/>
        <w:spacing w:before="0" w:after="0" w:line="277" w:lineRule="exact"/>
        <w:ind w:left="0" w:right="0" w:firstLine="700"/>
      </w:pPr>
      <w:r>
        <w:rPr>
          <w:lang w:val="ru-RU" w:eastAsia="ru-RU" w:bidi="ru-RU"/>
          <w:w w:val="100"/>
          <w:spacing w:val="0"/>
          <w:color w:val="000000"/>
          <w:position w:val="0"/>
        </w:rPr>
        <w:t xml:space="preserve"> Сафонов С.И. - Ведущий специалист-эксперт отдела Управления;</w:t>
      </w:r>
    </w:p>
    <w:p>
      <w:pPr>
        <w:pStyle w:val="Style10"/>
        <w:numPr>
          <w:ilvl w:val="0"/>
          <w:numId w:val="1"/>
        </w:numPr>
        <w:widowControl w:val="0"/>
        <w:keepNext w:val="0"/>
        <w:keepLines w:val="0"/>
        <w:shd w:val="clear" w:color="auto" w:fill="auto"/>
        <w:bidi w:val="0"/>
        <w:jc w:val="both"/>
        <w:spacing w:before="0" w:after="243" w:line="277" w:lineRule="exact"/>
        <w:ind w:left="0" w:right="0" w:firstLine="700"/>
      </w:pPr>
      <w:r>
        <w:rPr>
          <w:lang w:val="ru-RU" w:eastAsia="ru-RU" w:bidi="ru-RU"/>
          <w:w w:val="100"/>
          <w:spacing w:val="0"/>
          <w:color w:val="000000"/>
          <w:position w:val="0"/>
        </w:rPr>
        <w:t xml:space="preserve"> Бычков И.Т. - Государственный инспектор отдела Управления,</w:t>
      </w:r>
    </w:p>
    <w:p>
      <w:pPr>
        <w:pStyle w:val="Style10"/>
        <w:widowControl w:val="0"/>
        <w:keepNext w:val="0"/>
        <w:keepLines w:val="0"/>
        <w:shd w:val="clear" w:color="auto" w:fill="auto"/>
        <w:bidi w:val="0"/>
        <w:jc w:val="both"/>
        <w:spacing w:before="0" w:after="0"/>
        <w:ind w:left="0" w:right="0" w:firstLine="700"/>
      </w:pPr>
      <w:r>
        <w:rPr>
          <w:lang w:val="ru-RU" w:eastAsia="ru-RU" w:bidi="ru-RU"/>
          <w:w w:val="100"/>
          <w:spacing w:val="0"/>
          <w:color w:val="000000"/>
          <w:position w:val="0"/>
        </w:rPr>
        <w:t>от Заявителя - не явился, о дате, времени и месте рассмотрения жалобы посредством видеоконференц-связи уведомлены надлежащим образом;</w:t>
      </w:r>
    </w:p>
    <w:p>
      <w:pPr>
        <w:pStyle w:val="Style10"/>
        <w:widowControl w:val="0"/>
        <w:keepNext w:val="0"/>
        <w:keepLines w:val="0"/>
        <w:shd w:val="clear" w:color="auto" w:fill="auto"/>
        <w:bidi w:val="0"/>
        <w:jc w:val="both"/>
        <w:spacing w:before="0" w:after="0" w:line="277" w:lineRule="exact"/>
        <w:ind w:left="0" w:right="0" w:firstLine="700"/>
      </w:pPr>
      <w:r>
        <w:rPr>
          <w:lang w:val="ru-RU" w:eastAsia="ru-RU" w:bidi="ru-RU"/>
          <w:w w:val="100"/>
          <w:spacing w:val="0"/>
          <w:color w:val="000000"/>
          <w:position w:val="0"/>
        </w:rPr>
        <w:t>от Заказчика - не явился, о дате, времени и месте рассмотрения жалобы посредством видеоконференц-связи уведомлены надлежащим образом</w:t>
      </w:r>
    </w:p>
    <w:p>
      <w:pPr>
        <w:pStyle w:val="Style10"/>
        <w:widowControl w:val="0"/>
        <w:keepNext w:val="0"/>
        <w:keepLines w:val="0"/>
        <w:shd w:val="clear" w:color="auto" w:fill="auto"/>
        <w:bidi w:val="0"/>
        <w:jc w:val="both"/>
        <w:spacing w:before="0" w:after="240" w:line="277" w:lineRule="exact"/>
        <w:ind w:left="0" w:right="0" w:firstLine="700"/>
      </w:pPr>
      <w:r>
        <w:rPr>
          <w:lang w:val="ru-RU" w:eastAsia="ru-RU" w:bidi="ru-RU"/>
          <w:w w:val="100"/>
          <w:spacing w:val="0"/>
          <w:color w:val="000000"/>
          <w:position w:val="0"/>
        </w:rPr>
        <w:t>от Уполномоченного органа - посредством видеоконференц-связи Валуйская А.С. по доверенности №2060 от 25.12.2019г.,</w:t>
      </w:r>
    </w:p>
    <w:p>
      <w:pPr>
        <w:pStyle w:val="Style10"/>
        <w:widowControl w:val="0"/>
        <w:keepNext w:val="0"/>
        <w:keepLines w:val="0"/>
        <w:shd w:val="clear" w:color="auto" w:fill="auto"/>
        <w:bidi w:val="0"/>
        <w:jc w:val="both"/>
        <w:spacing w:before="0" w:after="234" w:line="277" w:lineRule="exact"/>
        <w:ind w:left="0" w:right="0" w:firstLine="700"/>
      </w:pPr>
      <w:r>
        <w:rPr>
          <w:lang w:val="ru-RU" w:eastAsia="ru-RU" w:bidi="ru-RU"/>
          <w:w w:val="100"/>
          <w:spacing w:val="0"/>
          <w:color w:val="000000"/>
          <w:position w:val="0"/>
        </w:rPr>
        <w:t>рассмотрев жалобу от ООО «ТехСтройПартнер» (ИНН 2221208025 ОГРН: 1132225016054) от 02.02.2021 №205-ж на действия Заказчика — Муниципальное казённое учреждение "Служба единого заказчика по эксплуатации объектов социальной сферы" Сургутского района, Уполномоченного органа - Администрация Сургутского района, при проведении электронного аукциона предметом, которого является выполнение работ по капитальному ремонту МБОУ</w:t>
        <w:br w:type="page"/>
        <w:t xml:space="preserve">"Лянторская </w:t>
      </w:r>
      <w:r>
        <w:rPr>
          <w:lang w:val="en-US" w:eastAsia="en-US" w:bidi="en-US"/>
          <w:w w:val="100"/>
          <w:spacing w:val="0"/>
          <w:color w:val="000000"/>
          <w:position w:val="0"/>
        </w:rPr>
        <w:t xml:space="preserve">COLLI </w:t>
      </w:r>
      <w:r>
        <w:rPr>
          <w:lang w:val="ru-RU" w:eastAsia="ru-RU" w:bidi="ru-RU"/>
          <w:w w:val="100"/>
          <w:spacing w:val="0"/>
          <w:color w:val="000000"/>
          <w:position w:val="0"/>
        </w:rPr>
        <w:t>№ 6</w:t>
      </w:r>
      <w:r>
        <w:rPr>
          <w:lang w:val="ru-RU" w:eastAsia="ru-RU" w:bidi="ru-RU"/>
          <w:vertAlign w:val="superscript"/>
          <w:w w:val="100"/>
          <w:spacing w:val="0"/>
          <w:color w:val="000000"/>
          <w:position w:val="0"/>
        </w:rPr>
        <w:t>м</w:t>
      </w:r>
      <w:r>
        <w:rPr>
          <w:lang w:val="ru-RU" w:eastAsia="ru-RU" w:bidi="ru-RU"/>
          <w:w w:val="100"/>
          <w:spacing w:val="0"/>
          <w:color w:val="000000"/>
          <w:position w:val="0"/>
        </w:rPr>
        <w:t xml:space="preserve"> (Школа № 6 на 1296 учащихся , г.Лянтор, мкр. 6, стр. 51) (извещение № 0187300014721000006) и в результате осуществления внеплановой проверки в соответствии с пунктом 1 части 15 статьи 99 Федерального закона от 05.04.2013 </w:t>
      </w:r>
      <w:r>
        <w:rPr>
          <w:lang w:val="en-US" w:eastAsia="en-US" w:bidi="en-US"/>
          <w:w w:val="100"/>
          <w:spacing w:val="0"/>
          <w:color w:val="000000"/>
          <w:position w:val="0"/>
        </w:rPr>
        <w:t xml:space="preserve">N </w:t>
      </w:r>
      <w:r>
        <w:rPr>
          <w:lang w:val="ru-RU" w:eastAsia="ru-RU" w:bidi="ru-RU"/>
          <w:w w:val="100"/>
          <w:spacing w:val="0"/>
          <w:color w:val="000000"/>
          <w:position w:val="0"/>
        </w:rPr>
        <w:t>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3"/>
        <w:widowControl w:val="0"/>
        <w:keepNext w:val="0"/>
        <w:keepLines w:val="0"/>
        <w:shd w:val="clear" w:color="auto" w:fill="auto"/>
        <w:bidi w:val="0"/>
        <w:jc w:val="center"/>
        <w:spacing w:before="0" w:after="103" w:line="210" w:lineRule="exact"/>
        <w:ind w:left="0" w:right="0" w:firstLine="0"/>
      </w:pPr>
      <w:r>
        <w:rPr>
          <w:lang w:val="ru-RU" w:eastAsia="ru-RU" w:bidi="ru-RU"/>
          <w:w w:val="100"/>
          <w:spacing w:val="0"/>
          <w:color w:val="000000"/>
          <w:position w:val="0"/>
        </w:rPr>
        <w:t>УСТАНОВИЛА:</w:t>
      </w:r>
    </w:p>
    <w:p>
      <w:pPr>
        <w:pStyle w:val="Style10"/>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В Управление Федеральной антимонопольной службы по Ханты-Мансийскому автономному округу - Югре поступила жалоба ООО «ТехСтройПартнер» (ИНН 2221208025 ОГРН: 1132225016054) от 02.02.2021 №205-ж (далее - Заявитель) на действия Заказчика при проведении электронного аукциона (извещение № 0187300014721000006).</w:t>
      </w:r>
    </w:p>
    <w:p>
      <w:pPr>
        <w:pStyle w:val="Style10"/>
        <w:widowControl w:val="0"/>
        <w:keepNext w:val="0"/>
        <w:keepLines w:val="0"/>
        <w:shd w:val="clear" w:color="auto" w:fill="auto"/>
        <w:bidi w:val="0"/>
        <w:jc w:val="both"/>
        <w:spacing w:before="0" w:after="0"/>
        <w:ind w:left="20" w:right="0" w:firstLine="720"/>
      </w:pPr>
      <w:r>
        <w:rPr>
          <w:lang w:val="ru-RU" w:eastAsia="ru-RU" w:bidi="ru-RU"/>
          <w:w w:val="100"/>
          <w:spacing w:val="0"/>
          <w:color w:val="000000"/>
          <w:position w:val="0"/>
        </w:rPr>
        <w:t>В доводе жалобы Заявитель указал следующее:</w:t>
      </w:r>
    </w:p>
    <w:p>
      <w:pPr>
        <w:pStyle w:val="Style10"/>
        <w:numPr>
          <w:ilvl w:val="0"/>
          <w:numId w:val="3"/>
        </w:numPr>
        <w:tabs>
          <w:tab w:leader="none" w:pos="1392" w:val="left"/>
        </w:tabs>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По мнению Заявителя, Заказчиком в проекте контракта установлены не все надлежащие размеры штрафов, начисляемых исполнителю за неисполнение или ненадлежащее исполнение обязательств, предусмотренных контрактом.</w:t>
      </w:r>
    </w:p>
    <w:p>
      <w:pPr>
        <w:pStyle w:val="Style10"/>
        <w:numPr>
          <w:ilvl w:val="0"/>
          <w:numId w:val="3"/>
        </w:numPr>
        <w:tabs>
          <w:tab w:leader="none" w:pos="1392" w:val="left"/>
        </w:tabs>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В проекте контракта отсутствует условие о том, что результатом выполненной работы по контракту является реконструированный объект капитального строительства, в отношении которого получено заключение органа государственного строительного надзора. Поскольку предметом закупки является строительство объекта капитального строительства, то результатом выполненной работы по контракту является построенный и (или) реконструированный объект капитального строительства, в отношении которого получено заключение органа государственного строительного надзора о соответствии построенного и (или) реконструированного объекта капитального строительства требованиям технических регламентов и проектной документации,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w:t>
      </w:r>
    </w:p>
    <w:p>
      <w:pPr>
        <w:pStyle w:val="Style10"/>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Таким образом, заказчиком органом нарушено положение части 4 статьи 110.2 Закона о контрактной системе.</w:t>
      </w:r>
    </w:p>
    <w:p>
      <w:pPr>
        <w:pStyle w:val="Style10"/>
        <w:numPr>
          <w:ilvl w:val="0"/>
          <w:numId w:val="3"/>
        </w:numPr>
        <w:tabs>
          <w:tab w:leader="none" w:pos="1392" w:val="left"/>
        </w:tabs>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Указанный в документации график выполнения строительно-монтажных работ не содержит требования Методики составления график выполнения строительно-монтажных работ и график оплаты, выполненных по договору, предметом которого является строительство, реконструкция, капитальный ремонт объектов капитального строительства работ, утвержденной приказом Минстроя 05.06.2018 №336/пр, а также нарушает требования части 13 статьи 34 Закона о контрактной системе.</w:t>
      </w:r>
    </w:p>
    <w:p>
      <w:pPr>
        <w:pStyle w:val="Style10"/>
        <w:numPr>
          <w:ilvl w:val="0"/>
          <w:numId w:val="3"/>
        </w:numPr>
        <w:tabs>
          <w:tab w:leader="none" w:pos="1392" w:val="left"/>
        </w:tabs>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 xml:space="preserve">Приказом Министерства строительства и жилищно-коммунального хозяйства РФ от 23 декабря 2019 г. </w:t>
      </w:r>
      <w:r>
        <w:rPr>
          <w:lang w:val="en-US" w:eastAsia="en-US" w:bidi="en-US"/>
          <w:w w:val="100"/>
          <w:spacing w:val="0"/>
          <w:color w:val="000000"/>
          <w:position w:val="0"/>
        </w:rPr>
        <w:t xml:space="preserve">N </w:t>
      </w:r>
      <w:r>
        <w:rPr>
          <w:lang w:val="ru-RU" w:eastAsia="ru-RU" w:bidi="ru-RU"/>
          <w:w w:val="100"/>
          <w:spacing w:val="0"/>
          <w:color w:val="000000"/>
          <w:position w:val="0"/>
        </w:rPr>
        <w:t>841/пр "Об утверждении Порядка определения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при осуществлении закупок в сфере градостроительной деятельности (за исключением территориального планирования) и Методики составления сметы контракта, предметом которого являются строительство, реконструкция объектов капитального строительства" определен порядок определения начальной (максимальной) цены контракта при осуществлении закупок в сфере градостроительной деятельности (за исключением территориального планирования) и методика составления сметы контракта, предметом которого являются строительство, реконструкция объектов капитального строительства. Данный Порядок не применяется в случаях, если извещения об осуществлении закупок размещены в единой информационной системе в сфере закупок или на официальном сайте Российской Федерации в информационно-коммуникационной сети "Интернет" для размещения информации о размещении заказов на поставки товаров, выполнение работ, оказание услуг либо приглашения принять участие в которых направлены до дня вступления в силу настоящего приказа. Однако данный проект сметы контракта у Заказчика отсутствует.</w:t>
      </w:r>
    </w:p>
    <w:p>
      <w:pPr>
        <w:pStyle w:val="Style3"/>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В ходе рассмотрения доводов сторон, материалов дела, Комиссией Управления установлено следующее.</w:t>
      </w:r>
    </w:p>
    <w:p>
      <w:pPr>
        <w:pStyle w:val="Style10"/>
        <w:numPr>
          <w:ilvl w:val="0"/>
          <w:numId w:val="5"/>
        </w:numPr>
        <w:tabs>
          <w:tab w:leader="none" w:pos="1017" w:val="left"/>
        </w:tabs>
        <w:widowControl w:val="0"/>
        <w:keepNext w:val="0"/>
        <w:keepLines w:val="0"/>
        <w:shd w:val="clear" w:color="auto" w:fill="auto"/>
        <w:bidi w:val="0"/>
        <w:jc w:val="both"/>
        <w:spacing w:before="0" w:after="0"/>
        <w:ind w:left="20" w:right="0" w:firstLine="720"/>
      </w:pPr>
      <w:r>
        <w:rPr>
          <w:lang w:val="ru-RU" w:eastAsia="ru-RU" w:bidi="ru-RU"/>
          <w:w w:val="100"/>
          <w:spacing w:val="0"/>
          <w:color w:val="000000"/>
          <w:position w:val="0"/>
        </w:rPr>
        <w:t>Относительно первого довода жалобы Комиссия Управления поясняет следующее.</w:t>
      </w:r>
    </w:p>
    <w:p>
      <w:pPr>
        <w:pStyle w:val="Style10"/>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Согласно части 4 статьи 34 Закона о контрактной системе в контракт включается обязательное условие об ответственности заказчика и поставщика (подрядчика, исполнителя) за неисполнение или ненадлежащее исполнение обязательств, предусмотренных контрактом.</w:t>
      </w:r>
    </w:p>
    <w:p>
      <w:pPr>
        <w:pStyle w:val="Style10"/>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Частью 5 е,татьи 34 Закона о контрактной системе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pPr>
        <w:pStyle w:val="Style10"/>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В силу части 8 статьи 34 Закона о контрактной системе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pPr>
        <w:pStyle w:val="Style10"/>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Постановлением Правительства РФ от 30.08.2017 №1042 утверждены Правила определения размера штрафа, начисляемого в случае ненадлежащего исполнения заказчиком,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w:t>
      </w:r>
    </w:p>
    <w:p>
      <w:pPr>
        <w:pStyle w:val="Style10"/>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Комиссия Управления установила, что раздел 13 проекта контракта (раздел 7 аукционной документации) содержит обязательное условие об ответственности заказчика и поставщика (подрядчика, исполнителя) за неисполнение или ненадлежащее исполнение обязательств, предусмотренных контрактом, в том числе штрафы для случая неисполнения Исполнителем обязательств, не имеющих стоимостного выражения (пункт 13.3.2. проекта контракта).</w:t>
      </w:r>
    </w:p>
    <w:p>
      <w:pPr>
        <w:pStyle w:val="Style10"/>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На основании вышеизложенного, довод Заявителя является необоснованным. Иное Заявителем не доказано.</w:t>
      </w:r>
    </w:p>
    <w:p>
      <w:pPr>
        <w:pStyle w:val="Style10"/>
        <w:numPr>
          <w:ilvl w:val="0"/>
          <w:numId w:val="5"/>
        </w:numPr>
        <w:tabs>
          <w:tab w:leader="none" w:pos="1015" w:val="left"/>
        </w:tabs>
        <w:widowControl w:val="0"/>
        <w:keepNext w:val="0"/>
        <w:keepLines w:val="0"/>
        <w:shd w:val="clear" w:color="auto" w:fill="auto"/>
        <w:bidi w:val="0"/>
        <w:jc w:val="both"/>
        <w:spacing w:before="0" w:after="0"/>
        <w:ind w:left="20" w:right="0" w:firstLine="700"/>
      </w:pPr>
      <w:r>
        <w:rPr>
          <w:lang w:val="ru-RU" w:eastAsia="ru-RU" w:bidi="ru-RU"/>
          <w:w w:val="100"/>
          <w:spacing w:val="0"/>
          <w:color w:val="000000"/>
          <w:position w:val="0"/>
        </w:rPr>
        <w:t>Относительно второго довода жалобы Комиссия Управления поясняет следующее.</w:t>
      </w:r>
    </w:p>
    <w:p>
      <w:pPr>
        <w:pStyle w:val="Style10"/>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В соответствии с частью 13 статьи 34 Закона о контрактной системе в контракт включаются обязательные условия:</w:t>
      </w:r>
    </w:p>
    <w:p>
      <w:pPr>
        <w:pStyle w:val="Style10"/>
        <w:numPr>
          <w:ilvl w:val="0"/>
          <w:numId w:val="7"/>
        </w:numPr>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 xml:space="preserve"> о порядке и сроках оплаты товара, работы или услуги, в том числе с учетом положений части 13 статьи 37 настоящего Федерального закона, о порядке и сроках осуществления заказчиком приемки поставленного товара, выполненной работы (ее результатов) или оказанной услуги в части соответствия их количества, комплектности, объема требованиям, установленным контрактом, о порядке и сроках оформления результатов такой приемки, а также о порядке и сроке предоставления поставщиком (подрядчиком, исполнителем) обеспечения гарантийных обязательств в случае установления в соответствии со статьей 96 настоящего Федерального закона требования обеспечения гарантийных обязательств. В случае, если контрактом предусмотрены его поэтапное исполнение и выплата аванса, в контракт включается условие о размере аванса в отношении каждого этапа исполнения контракта в виде процента от размера цены соответствующего этапа;</w:t>
      </w:r>
    </w:p>
    <w:p>
      <w:pPr>
        <w:pStyle w:val="Style10"/>
        <w:numPr>
          <w:ilvl w:val="0"/>
          <w:numId w:val="7"/>
        </w:numPr>
        <w:widowControl w:val="0"/>
        <w:keepNext w:val="0"/>
        <w:keepLines w:val="0"/>
        <w:shd w:val="clear" w:color="auto" w:fill="auto"/>
        <w:bidi w:val="0"/>
        <w:jc w:val="both"/>
        <w:spacing w:before="0" w:after="0"/>
        <w:ind w:left="20" w:right="20" w:firstLine="700"/>
      </w:pPr>
      <w:r>
        <w:rPr>
          <w:rStyle w:val="CharStyle22"/>
        </w:rPr>
        <w:t xml:space="preserve"> об уменьшении суммы, подлежащей уплате заказчиком юридическому лицу или </w:t>
      </w:r>
      <w:r>
        <w:rPr>
          <w:lang w:val="ru-RU" w:eastAsia="ru-RU" w:bidi="ru-RU"/>
          <w:w w:val="100"/>
          <w:spacing w:val="0"/>
          <w:color w:val="000000"/>
          <w:position w:val="0"/>
        </w:rPr>
        <w:t xml:space="preserve">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rPr>
          <w:rStyle w:val="CharStyle22"/>
        </w:rPr>
        <w:t xml:space="preserve">и </w:t>
      </w:r>
      <w:r>
        <w:rPr>
          <w:lang w:val="ru-RU" w:eastAsia="ru-RU" w:bidi="ru-RU"/>
          <w:w w:val="100"/>
          <w:spacing w:val="0"/>
          <w:color w:val="000000"/>
          <w:position w:val="0"/>
        </w:rPr>
        <w:t>сборах такие налоги, сборы и иные обязательные платежи подлежат уплате в бюджеты бюджетной системы Российской Федерации заказчиком.</w:t>
      </w:r>
    </w:p>
    <w:p>
      <w:pPr>
        <w:pStyle w:val="Style10"/>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Комиссия Управления, изучив материалы дела установила, что Разделом 7 аукционной документации «Проект муниципального контракта» содержит обязательные условия, установленные частью 13 статьи 34 Закона о контрактной системе.</w:t>
      </w:r>
    </w:p>
    <w:p>
      <w:pPr>
        <w:pStyle w:val="Style10"/>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Предметом контракта по рассматриваемому электронному аукциону является выполнение работ по капитальному ремонту МБОУ "Лянторская СОШ № 6" (Школа № 6 на 1296 учащихся, г.Лянтор, мкр. 6, стр. 51) (извещение № 0187300014721000006).</w:t>
      </w:r>
    </w:p>
    <w:p>
      <w:pPr>
        <w:pStyle w:val="Style10"/>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Таким образом, поскольку предметом контракта является капитальный ремонт, а не строительство, реконструкция объектов капитального строительства нарушений положений части 4 статьи 110.2 Закона о контрактной системе в действиях Заказчика не установлено.</w:t>
      </w:r>
    </w:p>
    <w:p>
      <w:pPr>
        <w:pStyle w:val="Style10"/>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На основании вышеизложенного, довод Заявителя является необоснованным. Иное Заявителем не доказано.</w:t>
      </w:r>
    </w:p>
    <w:p>
      <w:pPr>
        <w:pStyle w:val="Style10"/>
        <w:numPr>
          <w:ilvl w:val="0"/>
          <w:numId w:val="5"/>
        </w:numPr>
        <w:tabs>
          <w:tab w:leader="none" w:pos="1011" w:val="left"/>
        </w:tabs>
        <w:widowControl w:val="0"/>
        <w:keepNext w:val="0"/>
        <w:keepLines w:val="0"/>
        <w:shd w:val="clear" w:color="auto" w:fill="auto"/>
        <w:bidi w:val="0"/>
        <w:jc w:val="both"/>
        <w:spacing w:before="0" w:after="0"/>
        <w:ind w:left="20" w:right="0" w:firstLine="700"/>
      </w:pPr>
      <w:r>
        <w:rPr>
          <w:lang w:val="ru-RU" w:eastAsia="ru-RU" w:bidi="ru-RU"/>
          <w:w w:val="100"/>
          <w:spacing w:val="0"/>
          <w:color w:val="000000"/>
          <w:position w:val="0"/>
        </w:rPr>
        <w:t>Относительно третьего довода жалобы Комиссия Управления поясняет следующее.</w:t>
      </w:r>
    </w:p>
    <w:p>
      <w:pPr>
        <w:pStyle w:val="Style10"/>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Согласно требованиям части 7 статьи 110.2 Закона о контрактной системе Методики составления сметы контракта, графика оплаты выполненных по контракту работ, графика выполнения строительно-монтажных работ утверждаются уполномоченным Правительством Российской Федерации федеральным органом исполнительной власти.</w:t>
      </w:r>
    </w:p>
    <w:p>
      <w:pPr>
        <w:pStyle w:val="Style10"/>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 xml:space="preserve">Методика составления графика выполнения строительно-монтажных работ и графика оплаты, выполненных по контракту (договору), предметом которого являются строительство, реконструкция объектов капитального строительства, работ утверждена Приказом Министерства строительства и жилищно-коммунального хозяйства РФ от 5 июня 2018 г. </w:t>
      </w:r>
      <w:r>
        <w:rPr>
          <w:lang w:val="en-US" w:eastAsia="en-US" w:bidi="en-US"/>
          <w:w w:val="100"/>
          <w:spacing w:val="0"/>
          <w:color w:val="000000"/>
          <w:position w:val="0"/>
        </w:rPr>
        <w:t xml:space="preserve">N </w:t>
      </w:r>
      <w:r>
        <w:rPr>
          <w:lang w:val="ru-RU" w:eastAsia="ru-RU" w:bidi="ru-RU"/>
          <w:w w:val="100"/>
          <w:spacing w:val="0"/>
          <w:color w:val="000000"/>
          <w:position w:val="0"/>
        </w:rPr>
        <w:t>336/пр.</w:t>
      </w:r>
    </w:p>
    <w:p>
      <w:pPr>
        <w:pStyle w:val="Style10"/>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Предметом контракта по рассматриваемому электронному аукциону является выполнение работ по капитальному ремонту МБОУ "Лянторская СОШ № 6" (Школа № 6 на 1296 учащихся, г.Лянтор, мкр. 6, стр. 51) (извещение № 0187300014721000006).</w:t>
      </w:r>
    </w:p>
    <w:p>
      <w:pPr>
        <w:pStyle w:val="Style10"/>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 xml:space="preserve">Таким образом, поскольку предметом контракта является капитальный ремонт, а не строительство, реконструкция объектов капитального строительства, требования Приказа Министерства строительства и жилищно-коммунального хозяйства РФ от 5 июня 2018 г. </w:t>
      </w:r>
      <w:r>
        <w:rPr>
          <w:lang w:val="en-US" w:eastAsia="en-US" w:bidi="en-US"/>
          <w:w w:val="100"/>
          <w:spacing w:val="0"/>
          <w:color w:val="000000"/>
          <w:position w:val="0"/>
        </w:rPr>
        <w:t xml:space="preserve">N </w:t>
      </w:r>
      <w:r>
        <w:rPr>
          <w:lang w:val="ru-RU" w:eastAsia="ru-RU" w:bidi="ru-RU"/>
          <w:w w:val="100"/>
          <w:spacing w:val="0"/>
          <w:color w:val="000000"/>
          <w:position w:val="0"/>
        </w:rPr>
        <w:t>336/пр. не применяются.</w:t>
      </w:r>
    </w:p>
    <w:p>
      <w:pPr>
        <w:pStyle w:val="Style10"/>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На основании вышеизложенного, Комиссия Управления, изучив материалы дела, пришла к выводу, что со стороны Заказчика отсутствуют нарушения положений Закона о контрактной системе, а, следовательно, довод Заявителя является необоснованным. Иное Заявителем не доказано.</w:t>
      </w:r>
    </w:p>
    <w:p>
      <w:pPr>
        <w:pStyle w:val="Style10"/>
        <w:widowControl w:val="0"/>
        <w:keepNext w:val="0"/>
        <w:keepLines w:val="0"/>
        <w:shd w:val="clear" w:color="auto" w:fill="auto"/>
        <w:bidi w:val="0"/>
        <w:jc w:val="both"/>
        <w:spacing w:before="0" w:after="0"/>
        <w:ind w:left="20" w:right="0" w:firstLine="700"/>
      </w:pPr>
      <w:r>
        <w:rPr>
          <w:rStyle w:val="CharStyle18"/>
        </w:rPr>
        <w:t xml:space="preserve">4 </w:t>
      </w:r>
      <w:r>
        <w:rPr>
          <w:lang w:val="ru-RU" w:eastAsia="ru-RU" w:bidi="ru-RU"/>
          <w:w w:val="100"/>
          <w:spacing w:val="0"/>
          <w:color w:val="000000"/>
          <w:position w:val="0"/>
        </w:rPr>
        <w:t>Относительно четвёртого довода жалобы Комиссия Управления поясняет следующее.</w:t>
      </w:r>
    </w:p>
    <w:p>
      <w:pPr>
        <w:pStyle w:val="Style10"/>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В соответствии с частью 5 статьи 110.2 Закона о контрактной системе контракт, предметом которого являются строительство и (или) реконструкция объектов капитального строительства, должен содержать условие о поэтапной оплате выполненных подрядчиком работ исходя из объема таких работ и цены контракта.</w:t>
      </w:r>
    </w:p>
    <w:p>
      <w:pPr>
        <w:pStyle w:val="Style10"/>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Согласно части 7 статьи 110.2 Закона о контрактной системе методики составления сметы контракта, графика оплаты выполненных по контракту работ, графика выполнения строительно</w:t>
        <w:softHyphen/>
        <w:t>монтажных работ утверждаются уполномоченным Правительством Российской Федерации федеральным органом исполнительной власти.</w:t>
      </w:r>
    </w:p>
    <w:p>
      <w:pPr>
        <w:pStyle w:val="Style10"/>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 xml:space="preserve">Приказ Министерства строительства и жилищно-коммунального хозяйства РФ от 23 декабря 2019 г. </w:t>
      </w:r>
      <w:r>
        <w:rPr>
          <w:lang w:val="en-US" w:eastAsia="en-US" w:bidi="en-US"/>
          <w:w w:val="100"/>
          <w:spacing w:val="0"/>
          <w:color w:val="000000"/>
          <w:position w:val="0"/>
        </w:rPr>
        <w:t xml:space="preserve">N </w:t>
      </w:r>
      <w:r>
        <w:rPr>
          <w:lang w:val="ru-RU" w:eastAsia="ru-RU" w:bidi="ru-RU"/>
          <w:w w:val="100"/>
          <w:spacing w:val="0"/>
          <w:color w:val="000000"/>
          <w:position w:val="0"/>
        </w:rPr>
        <w:t>841/пр "Об утверждении Порядка определения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при осуществлении закупок в сфере градостроительной деятельности (за исключением территориального планирования) и Методики составления сметы контракта, предметом которого являются строительство, реконструкция объектов капитального строительства" (далее - Приказ № 841/пр) издан в соответствии с частью 7 статьи 110.2 Закона о контрактной системе, и не может расширять положения федерального законодательства.</w:t>
      </w:r>
    </w:p>
    <w:p>
      <w:pPr>
        <w:pStyle w:val="Style10"/>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Статья 110.2 Закона о контрактной системе описывает особенности заключения и исполнения контракта, предметом которого является подготовка проектной документации и (или) выполнение инженерных изысканий, и контрактов, предметом которых являются строительство, реконструкция объектов капитального строительства.</w:t>
      </w:r>
    </w:p>
    <w:p>
      <w:pPr>
        <w:pStyle w:val="Style10"/>
        <w:widowControl w:val="0"/>
        <w:keepNext w:val="0"/>
        <w:keepLines w:val="0"/>
        <w:shd w:val="clear" w:color="auto" w:fill="auto"/>
        <w:bidi w:val="0"/>
        <w:jc w:val="both"/>
        <w:spacing w:before="0" w:after="0"/>
        <w:ind w:left="20" w:right="220" w:firstLine="700"/>
      </w:pPr>
      <w:r>
        <w:rPr>
          <w:lang w:val="ru-RU" w:eastAsia="ru-RU" w:bidi="ru-RU"/>
          <w:w w:val="100"/>
          <w:spacing w:val="0"/>
          <w:color w:val="000000"/>
          <w:position w:val="0"/>
        </w:rPr>
        <w:t>Согласно извещению данного аукциона объект закупки - выполнение работ по капитальному ремонту МБОУ "Лянторская СОШ № 6" (Школа № 6 на 1296 учащихся, г.Лянтор, мкр. 6, стр. 51) (извещение № 0187300014721000006).</w:t>
      </w:r>
    </w:p>
    <w:p>
      <w:pPr>
        <w:pStyle w:val="Style10"/>
        <w:widowControl w:val="0"/>
        <w:keepNext w:val="0"/>
        <w:keepLines w:val="0"/>
        <w:shd w:val="clear" w:color="auto" w:fill="auto"/>
        <w:bidi w:val="0"/>
        <w:jc w:val="both"/>
        <w:spacing w:before="0" w:after="0"/>
        <w:ind w:left="20" w:right="220" w:firstLine="700"/>
      </w:pPr>
      <w:r>
        <w:rPr>
          <w:lang w:val="ru-RU" w:eastAsia="ru-RU" w:bidi="ru-RU"/>
          <w:w w:val="100"/>
          <w:spacing w:val="0"/>
          <w:color w:val="000000"/>
          <w:position w:val="0"/>
        </w:rPr>
        <w:t xml:space="preserve">Вместе с тем, статья 110.2 Закона о контрактной системе регулирует положения, касающиеся особенностей заключения и исполнения контракта, предметом которого является подготовка проектной документации и (или) выполнение инженерных изысканий, и контрактов, предметом которых являются строительство, реконструкция объектов капитального строительства. У Заказчика </w:t>
      </w:r>
      <w:r>
        <w:rPr>
          <w:rStyle w:val="CharStyle18"/>
        </w:rPr>
        <w:t xml:space="preserve">нет обязанности </w:t>
      </w:r>
      <w:r>
        <w:rPr>
          <w:lang w:val="ru-RU" w:eastAsia="ru-RU" w:bidi="ru-RU"/>
          <w:w w:val="100"/>
          <w:spacing w:val="0"/>
          <w:color w:val="000000"/>
          <w:position w:val="0"/>
        </w:rPr>
        <w:t>использовать указанные требования в отношении контракта, предметом которого являются капитальный ремонт объекта капитального строительства.</w:t>
      </w:r>
    </w:p>
    <w:p>
      <w:pPr>
        <w:pStyle w:val="Style10"/>
        <w:widowControl w:val="0"/>
        <w:keepNext w:val="0"/>
        <w:keepLines w:val="0"/>
        <w:shd w:val="clear" w:color="auto" w:fill="auto"/>
        <w:bidi w:val="0"/>
        <w:jc w:val="both"/>
        <w:spacing w:before="0" w:after="0"/>
        <w:ind w:left="20" w:right="220" w:firstLine="700"/>
      </w:pPr>
      <w:r>
        <w:rPr>
          <w:lang w:val="ru-RU" w:eastAsia="ru-RU" w:bidi="ru-RU"/>
          <w:w w:val="100"/>
          <w:spacing w:val="0"/>
          <w:color w:val="000000"/>
          <w:position w:val="0"/>
        </w:rPr>
        <w:t>Согласно части 9 статьи 105 Закона о контрактной системе к жалобе прикладываются документы, подтверждающие ее обоснованность. При этом жалоба должна содержать перечень прилагаемых к ней документов.</w:t>
      </w:r>
    </w:p>
    <w:p>
      <w:pPr>
        <w:pStyle w:val="Style10"/>
        <w:widowControl w:val="0"/>
        <w:keepNext w:val="0"/>
        <w:keepLines w:val="0"/>
        <w:shd w:val="clear" w:color="auto" w:fill="auto"/>
        <w:bidi w:val="0"/>
        <w:jc w:val="both"/>
        <w:spacing w:before="0" w:after="0"/>
        <w:ind w:left="20" w:right="220" w:firstLine="700"/>
      </w:pPr>
      <w:r>
        <w:rPr>
          <w:lang w:val="ru-RU" w:eastAsia="ru-RU" w:bidi="ru-RU"/>
          <w:w w:val="100"/>
          <w:spacing w:val="0"/>
          <w:color w:val="000000"/>
          <w:position w:val="0"/>
        </w:rPr>
        <w:t xml:space="preserve">Однако, </w:t>
      </w:r>
      <w:r>
        <w:rPr>
          <w:rStyle w:val="CharStyle18"/>
        </w:rPr>
        <w:t xml:space="preserve">доказательств, </w:t>
      </w:r>
      <w:r>
        <w:rPr>
          <w:lang w:val="ru-RU" w:eastAsia="ru-RU" w:bidi="ru-RU"/>
          <w:w w:val="100"/>
          <w:spacing w:val="0"/>
          <w:color w:val="000000"/>
          <w:position w:val="0"/>
        </w:rPr>
        <w:t>подтверждающих, что проект контракта отсутствует в ЕИС и не соответствует требованиям Закона о контрактной системе, податель жалобы не представил.</w:t>
      </w:r>
    </w:p>
    <w:p>
      <w:pPr>
        <w:pStyle w:val="Style10"/>
        <w:widowControl w:val="0"/>
        <w:keepNext w:val="0"/>
        <w:keepLines w:val="0"/>
        <w:shd w:val="clear" w:color="auto" w:fill="auto"/>
        <w:bidi w:val="0"/>
        <w:jc w:val="both"/>
        <w:spacing w:before="0" w:after="240"/>
        <w:ind w:left="20" w:right="220" w:firstLine="700"/>
      </w:pPr>
      <w:r>
        <w:rPr>
          <w:lang w:val="ru-RU" w:eastAsia="ru-RU" w:bidi="ru-RU"/>
          <w:w w:val="100"/>
          <w:spacing w:val="0"/>
          <w:color w:val="000000"/>
          <w:position w:val="0"/>
        </w:rPr>
        <w:t>Таким образом, Комиссия Управления изучив материалы дела, пришла к выводу, что со стороны Заказчика отсутствуют нарушения положений Закона о контрактной системе, а, следовательно, довод Заявителя является необоснованным. Иное Заявителем не доказано.</w:t>
      </w:r>
    </w:p>
    <w:p>
      <w:pPr>
        <w:pStyle w:val="Style10"/>
        <w:widowControl w:val="0"/>
        <w:keepNext w:val="0"/>
        <w:keepLines w:val="0"/>
        <w:shd w:val="clear" w:color="auto" w:fill="auto"/>
        <w:bidi w:val="0"/>
        <w:jc w:val="both"/>
        <w:spacing w:before="0" w:after="0"/>
        <w:ind w:left="20" w:right="220" w:firstLine="700"/>
      </w:pPr>
      <w:r>
        <w:rPr>
          <w:lang w:val="ru-RU" w:eastAsia="ru-RU" w:bidi="ru-RU"/>
          <w:w w:val="100"/>
          <w:spacing w:val="0"/>
          <w:color w:val="000000"/>
          <w:position w:val="0"/>
        </w:rPr>
        <w:t>Жалоба ООО «ТехСтройПартнер» (ИНН 2221208025 ОГРН: 1132225016054) от 02.02.2021 №205-ж рассмотрена Комиссией Управления в соответствии с требованиями Закона о контрактной системе и Административного регламента ФАС России от 19 ноября 2014 №727/14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p>
    <w:p>
      <w:pPr>
        <w:pStyle w:val="Style10"/>
        <w:widowControl w:val="0"/>
        <w:keepNext w:val="0"/>
        <w:keepLines w:val="0"/>
        <w:shd w:val="clear" w:color="auto" w:fill="auto"/>
        <w:bidi w:val="0"/>
        <w:jc w:val="both"/>
        <w:spacing w:before="0" w:after="171"/>
        <w:ind w:left="20" w:right="220" w:firstLine="700"/>
      </w:pPr>
      <w:r>
        <w:rPr>
          <w:lang w:val="ru-RU" w:eastAsia="ru-RU" w:bidi="ru-RU"/>
          <w:w w:val="100"/>
          <w:spacing w:val="0"/>
          <w:color w:val="000000"/>
          <w:position w:val="0"/>
        </w:rPr>
        <w:t>Рассмотрев^ материалы дела, изучив представленные документы представителей сторон, руководствуясь положениями статьи 106 Закона о контрактной системе, Комиссия Управления</w:t>
      </w:r>
    </w:p>
    <w:p>
      <w:pPr>
        <w:pStyle w:val="Style3"/>
        <w:widowControl w:val="0"/>
        <w:keepNext w:val="0"/>
        <w:keepLines w:val="0"/>
        <w:shd w:val="clear" w:color="auto" w:fill="auto"/>
        <w:bidi w:val="0"/>
        <w:jc w:val="center"/>
        <w:spacing w:before="0" w:after="148" w:line="210" w:lineRule="exact"/>
        <w:ind w:left="200" w:right="0" w:firstLine="0"/>
      </w:pPr>
      <w:r>
        <w:rPr>
          <w:lang w:val="ru-RU" w:eastAsia="ru-RU" w:bidi="ru-RU"/>
          <w:w w:val="100"/>
          <w:spacing w:val="0"/>
          <w:color w:val="000000"/>
          <w:position w:val="0"/>
        </w:rPr>
        <w:t>РЕШИЛА:</w:t>
      </w:r>
    </w:p>
    <w:p>
      <w:pPr>
        <w:pStyle w:val="Style10"/>
        <w:numPr>
          <w:ilvl w:val="0"/>
          <w:numId w:val="9"/>
        </w:numPr>
        <w:widowControl w:val="0"/>
        <w:keepNext w:val="0"/>
        <w:keepLines w:val="0"/>
        <w:shd w:val="clear" w:color="auto" w:fill="auto"/>
        <w:bidi w:val="0"/>
        <w:jc w:val="both"/>
        <w:spacing w:before="0" w:after="0"/>
        <w:ind w:left="20" w:right="220" w:firstLine="700"/>
      </w:pPr>
      <w:r>
        <w:rPr>
          <w:lang w:val="ru-RU" w:eastAsia="ru-RU" w:bidi="ru-RU"/>
          <w:w w:val="100"/>
          <w:spacing w:val="0"/>
          <w:color w:val="000000"/>
          <w:position w:val="0"/>
        </w:rPr>
        <w:t xml:space="preserve"> Признать жалобу ООО «ТехСтройПартнер» (ИНН 2221208025 ОГРН: 1132225016054) от 02.02.2021 №205-ж на действия Заказчика — Муниципальное казённое учреждение "Служба единого заказчика по эксплуатации объектов социальной сферы" Сургутского района, Уполномоченного органа - Администрация Сургутского района, при проведении электронного аукциона предметом, которого является выполнение работ по капитальному ремонту МБОУ "Лянторская СОШ № 6" (Школа № 6 на 1296 учащихся , г.Лянтор, мкр. 6, стр. 51) (извещение № 0187300014721000006)необоснованной.</w:t>
      </w:r>
    </w:p>
    <w:p>
      <w:pPr>
        <w:pStyle w:val="Style10"/>
        <w:numPr>
          <w:ilvl w:val="0"/>
          <w:numId w:val="9"/>
        </w:numPr>
        <w:widowControl w:val="0"/>
        <w:keepNext w:val="0"/>
        <w:keepLines w:val="0"/>
        <w:shd w:val="clear" w:color="auto" w:fill="auto"/>
        <w:bidi w:val="0"/>
        <w:jc w:val="both"/>
        <w:spacing w:before="0" w:after="0"/>
        <w:ind w:left="20" w:right="0" w:firstLine="700"/>
      </w:pPr>
      <w:r>
        <w:rPr>
          <w:lang w:val="ru-RU" w:eastAsia="ru-RU" w:bidi="ru-RU"/>
          <w:w w:val="100"/>
          <w:spacing w:val="0"/>
          <w:color w:val="000000"/>
          <w:position w:val="0"/>
        </w:rPr>
        <w:t xml:space="preserve"> Обязательное для исполнения предписание не выдавать.</w:t>
      </w:r>
    </w:p>
    <w:p>
      <w:pPr>
        <w:pStyle w:val="Style10"/>
        <w:numPr>
          <w:ilvl w:val="0"/>
          <w:numId w:val="9"/>
        </w:numPr>
        <w:widowControl w:val="0"/>
        <w:keepNext w:val="0"/>
        <w:keepLines w:val="0"/>
        <w:shd w:val="clear" w:color="auto" w:fill="auto"/>
        <w:bidi w:val="0"/>
        <w:jc w:val="left"/>
        <w:spacing w:before="0" w:after="411"/>
        <w:ind w:left="20" w:right="0" w:firstLine="700"/>
      </w:pPr>
      <w:r>
        <w:rPr>
          <w:lang w:val="ru-RU" w:eastAsia="ru-RU" w:bidi="ru-RU"/>
          <w:w w:val="100"/>
          <w:spacing w:val="0"/>
          <w:color w:val="000000"/>
          <w:position w:val="0"/>
        </w:rPr>
        <w:t xml:space="preserve"> Направить данное решение сторонам и опубликовать на официальном сайте единой информационной системы в сфере закупок </w:t>
      </w:r>
      <w:r>
        <w:rPr>
          <w:lang w:val="en-US" w:eastAsia="en-US" w:bidi="en-US"/>
          <w:w w:val="100"/>
          <w:spacing w:val="0"/>
          <w:color w:val="000000"/>
          <w:position w:val="0"/>
        </w:rPr>
        <w:t>(</w:t>
      </w:r>
      <w:r>
        <w:fldChar w:fldCharType="begin"/>
      </w:r>
      <w:r>
        <w:rPr>
          <w:color w:val="000000"/>
        </w:rPr>
        <w:instrText> HYPERLINK "http://www.zakupki.gov.ru" </w:instrText>
      </w:r>
      <w:r>
        <w:fldChar w:fldCharType="separate"/>
      </w:r>
      <w:r>
        <w:rPr>
          <w:rStyle w:val="Hyperlink"/>
          <w:lang w:val="en-US" w:eastAsia="en-US" w:bidi="en-US"/>
          <w:w w:val="100"/>
          <w:spacing w:val="0"/>
          <w:position w:val="0"/>
        </w:rPr>
        <w:t>www.zakupki.gov.ru</w:t>
      </w:r>
      <w:r>
        <w:fldChar w:fldCharType="end"/>
      </w:r>
    </w:p>
    <w:p>
      <w:pPr>
        <w:pStyle w:val="Style10"/>
        <w:widowControl w:val="0"/>
        <w:keepNext w:val="0"/>
        <w:keepLines w:val="0"/>
        <w:shd w:val="clear" w:color="auto" w:fill="auto"/>
        <w:bidi w:val="0"/>
        <w:jc w:val="left"/>
        <w:spacing w:before="0" w:after="499" w:line="210" w:lineRule="exact"/>
        <w:ind w:left="20" w:right="0" w:firstLine="0"/>
      </w:pPr>
      <w:r>
        <w:rPr>
          <w:lang w:val="ru-RU" w:eastAsia="ru-RU" w:bidi="ru-RU"/>
          <w:w w:val="100"/>
          <w:spacing w:val="0"/>
          <w:color w:val="000000"/>
          <w:position w:val="0"/>
        </w:rPr>
        <w:t>Председатель Комиссии</w:t>
      </w:r>
    </w:p>
    <w:p>
      <w:pPr>
        <w:pStyle w:val="Style10"/>
        <w:widowControl w:val="0"/>
        <w:keepNext w:val="0"/>
        <w:keepLines w:val="0"/>
        <w:shd w:val="clear" w:color="auto" w:fill="auto"/>
        <w:bidi w:val="0"/>
        <w:jc w:val="left"/>
        <w:spacing w:before="0" w:after="1071" w:line="210" w:lineRule="exact"/>
        <w:ind w:left="20" w:right="0" w:firstLine="0"/>
      </w:pPr>
      <w:r>
        <w:rPr>
          <w:lang w:val="ru-RU" w:eastAsia="ru-RU" w:bidi="ru-RU"/>
          <w:w w:val="100"/>
          <w:spacing w:val="0"/>
          <w:color w:val="000000"/>
          <w:position w:val="0"/>
        </w:rPr>
        <w:t>Члены Комиссии:</w:t>
      </w:r>
    </w:p>
    <w:p>
      <w:pPr>
        <w:pStyle w:val="Style23"/>
        <w:widowControl w:val="0"/>
        <w:keepNext w:val="0"/>
        <w:keepLines w:val="0"/>
        <w:shd w:val="clear" w:color="auto" w:fill="auto"/>
        <w:bidi w:val="0"/>
        <w:spacing w:before="0" w:after="0"/>
        <w:ind w:left="20" w:right="220"/>
      </w:pPr>
      <w:r>
        <w:rPr>
          <w:lang w:val="ru-RU" w:eastAsia="ru-RU" w:bidi="ru-RU"/>
          <w:w w:val="100"/>
          <w:spacing w:val="0"/>
          <w:color w:val="000000"/>
          <w:position w:val="0"/>
        </w:rPr>
        <w:t>Решение, принятое по результатам рассмотрения жалобы по существу, может быть обжаловано в судебном порядке в течение трех месяцев с даты принятия</w:t>
      </w:r>
    </w:p>
    <w:sectPr>
      <w:footnotePr>
        <w:pos w:val="pageBottom"/>
        <w:numFmt w:val="decimal"/>
        <w:numRestart w:val="continuous"/>
      </w:footnotePr>
      <w:type w:val="continuous"/>
      <w:pgSz w:w="11906" w:h="16838"/>
      <w:pgMar w:top="662" w:left="747" w:right="711" w:bottom="1044"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bullet"/>
      <w:lvlText w:val="-"/>
      <w:rPr>
        <w:lang w:val="ru-RU" w:eastAsia="ru-RU" w:bidi="ru-RU"/>
        <w:b w:val="0"/>
        <w:bCs w:val="0"/>
        <w:i w:val="0"/>
        <w:iCs w:val="0"/>
        <w:u w:val="none"/>
        <w:strike w:val="0"/>
        <w:smallCaps w:val="0"/>
        <w:sz w:val="21"/>
        <w:szCs w:val="21"/>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1"/>
        <w:szCs w:val="21"/>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1"/>
        <w:szCs w:val="21"/>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1"/>
        <w:szCs w:val="21"/>
        <w:rFonts w:ascii="Times New Roman" w:eastAsia="Times New Roman" w:hAnsi="Times New Roman" w:cs="Times New Roman"/>
        <w:w w:val="100"/>
        <w:spacing w:val="10"/>
        <w:color w:val="000000"/>
        <w:position w:val="0"/>
      </w:rPr>
    </w:lvl>
  </w:abstractNum>
  <w:abstractNum w:abstractNumId="8">
    <w:multiLevelType w:val="multilevel"/>
    <w:lvl w:ilvl="0">
      <w:start w:val="1"/>
      <w:numFmt w:val="decimal"/>
      <w:lvlText w:val="%1."/>
      <w:rPr>
        <w:lang w:val="ru-RU" w:eastAsia="ru-RU" w:bidi="ru-RU"/>
        <w:b w:val="0"/>
        <w:bCs w:val="0"/>
        <w:i w:val="0"/>
        <w:iCs w:val="0"/>
        <w:u w:val="none"/>
        <w:strike w:val="0"/>
        <w:smallCaps w:val="0"/>
        <w:sz w:val="21"/>
        <w:szCs w:val="21"/>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 Exact"/>
    <w:basedOn w:val="DefaultParagraphFont"/>
    <w:rPr>
      <w:b/>
      <w:bCs/>
      <w:i w:val="0"/>
      <w:iCs w:val="0"/>
      <w:u w:val="none"/>
      <w:strike w:val="0"/>
      <w:smallCaps w:val="0"/>
      <w:sz w:val="20"/>
      <w:szCs w:val="20"/>
      <w:rFonts w:ascii="Times New Roman" w:eastAsia="Times New Roman" w:hAnsi="Times New Roman" w:cs="Times New Roman"/>
      <w:spacing w:val="8"/>
    </w:rPr>
  </w:style>
  <w:style w:type="character" w:customStyle="1" w:styleId="CharStyle6">
    <w:name w:val="Основной текст (3) Exact"/>
    <w:basedOn w:val="DefaultParagraphFont"/>
    <w:link w:val="Style5"/>
    <w:rPr>
      <w:b/>
      <w:bCs/>
      <w:i w:val="0"/>
      <w:iCs w:val="0"/>
      <w:u w:val="none"/>
      <w:strike w:val="0"/>
      <w:smallCaps w:val="0"/>
      <w:sz w:val="23"/>
      <w:szCs w:val="23"/>
      <w:rFonts w:ascii="Times New Roman" w:eastAsia="Times New Roman" w:hAnsi="Times New Roman" w:cs="Times New Roman"/>
      <w:spacing w:val="18"/>
    </w:rPr>
  </w:style>
  <w:style w:type="character" w:customStyle="1" w:styleId="CharStyle8">
    <w:name w:val="Основной текст (4) Exact"/>
    <w:basedOn w:val="DefaultParagraphFont"/>
    <w:link w:val="Style7"/>
    <w:rPr>
      <w:b w:val="0"/>
      <w:bCs w:val="0"/>
      <w:i w:val="0"/>
      <w:iCs w:val="0"/>
      <w:u w:val="none"/>
      <w:strike w:val="0"/>
      <w:smallCaps w:val="0"/>
      <w:sz w:val="16"/>
      <w:szCs w:val="16"/>
      <w:rFonts w:ascii="Times New Roman" w:eastAsia="Times New Roman" w:hAnsi="Times New Roman" w:cs="Times New Roman"/>
      <w:spacing w:val="11"/>
    </w:rPr>
  </w:style>
  <w:style w:type="character" w:customStyle="1" w:styleId="CharStyle9">
    <w:name w:val="Основной текст (4) + Lucida Sans Unicode,7 pt,Интервал 0 pt Exact"/>
    <w:basedOn w:val="CharStyle8"/>
    <w:rPr>
      <w:lang w:val="en-US" w:eastAsia="en-US" w:bidi="en-US"/>
      <w:u w:val="single"/>
      <w:sz w:val="14"/>
      <w:szCs w:val="14"/>
      <w:rFonts w:ascii="Lucida Sans Unicode" w:eastAsia="Lucida Sans Unicode" w:hAnsi="Lucida Sans Unicode" w:cs="Lucida Sans Unicode"/>
      <w:w w:val="100"/>
      <w:spacing w:val="2"/>
      <w:color w:val="000000"/>
      <w:position w:val="0"/>
    </w:rPr>
  </w:style>
  <w:style w:type="character" w:customStyle="1" w:styleId="CharStyle11">
    <w:name w:val="Основной текст Exact"/>
    <w:basedOn w:val="DefaultParagraphFont"/>
    <w:rPr>
      <w:b w:val="0"/>
      <w:bCs w:val="0"/>
      <w:i w:val="0"/>
      <w:iCs w:val="0"/>
      <w:u w:val="none"/>
      <w:strike w:val="0"/>
      <w:smallCaps w:val="0"/>
      <w:sz w:val="20"/>
      <w:szCs w:val="20"/>
      <w:rFonts w:ascii="Times New Roman" w:eastAsia="Times New Roman" w:hAnsi="Times New Roman" w:cs="Times New Roman"/>
      <w:spacing w:val="8"/>
    </w:rPr>
  </w:style>
  <w:style w:type="character" w:customStyle="1" w:styleId="CharStyle12">
    <w:name w:val="Основной текст + 9,5 pt,Курсив,Интервал 0 pt Exact"/>
    <w:basedOn w:val="CharStyle16"/>
    <w:rPr>
      <w:i/>
      <w:iCs/>
      <w:u w:val="single"/>
      <w:sz w:val="19"/>
      <w:szCs w:val="19"/>
      <w:spacing w:val="-10"/>
    </w:rPr>
  </w:style>
  <w:style w:type="character" w:customStyle="1" w:styleId="CharStyle13">
    <w:name w:val="Основной текст Exact"/>
    <w:basedOn w:val="CharStyle16"/>
    <w:rPr>
      <w:lang w:val="1024"/>
      <w:u w:val="single"/>
      <w:sz w:val="20"/>
      <w:szCs w:val="20"/>
      <w:spacing w:val="8"/>
    </w:rPr>
  </w:style>
  <w:style w:type="character" w:customStyle="1" w:styleId="CharStyle14">
    <w:name w:val="Основной текст Exact"/>
    <w:basedOn w:val="CharStyle16"/>
    <w:rPr>
      <w:u w:val="single"/>
      <w:sz w:val="20"/>
      <w:szCs w:val="20"/>
      <w:spacing w:val="8"/>
    </w:rPr>
  </w:style>
  <w:style w:type="character" w:customStyle="1" w:styleId="CharStyle15">
    <w:name w:val="Основной текст (2)_"/>
    <w:basedOn w:val="DefaultParagraphFont"/>
    <w:link w:val="Style3"/>
    <w:rPr>
      <w:b/>
      <w:bCs/>
      <w:i w:val="0"/>
      <w:iCs w:val="0"/>
      <w:u w:val="none"/>
      <w:strike w:val="0"/>
      <w:smallCaps w:val="0"/>
      <w:sz w:val="21"/>
      <w:szCs w:val="21"/>
      <w:rFonts w:ascii="Times New Roman" w:eastAsia="Times New Roman" w:hAnsi="Times New Roman" w:cs="Times New Roman"/>
    </w:rPr>
  </w:style>
  <w:style w:type="character" w:customStyle="1" w:styleId="CharStyle16">
    <w:name w:val="Основной текст_"/>
    <w:basedOn w:val="DefaultParagraphFont"/>
    <w:link w:val="Style10"/>
    <w:rPr>
      <w:b w:val="0"/>
      <w:bCs w:val="0"/>
      <w:i w:val="0"/>
      <w:iCs w:val="0"/>
      <w:u w:val="none"/>
      <w:strike w:val="0"/>
      <w:smallCaps w:val="0"/>
      <w:sz w:val="21"/>
      <w:szCs w:val="21"/>
      <w:rFonts w:ascii="Times New Roman" w:eastAsia="Times New Roman" w:hAnsi="Times New Roman" w:cs="Times New Roman"/>
    </w:rPr>
  </w:style>
  <w:style w:type="character" w:customStyle="1" w:styleId="CharStyle17">
    <w:name w:val="Основной текст + 10 pt"/>
    <w:basedOn w:val="CharStyle16"/>
    <w:rPr>
      <w:lang w:val="ru-RU" w:eastAsia="ru-RU" w:bidi="ru-RU"/>
      <w:sz w:val="20"/>
      <w:szCs w:val="20"/>
      <w:w w:val="100"/>
      <w:spacing w:val="0"/>
      <w:color w:val="000000"/>
      <w:position w:val="0"/>
    </w:rPr>
  </w:style>
  <w:style w:type="character" w:customStyle="1" w:styleId="CharStyle18">
    <w:name w:val="Основной текст + Полужирный"/>
    <w:basedOn w:val="CharStyle16"/>
    <w:rPr>
      <w:lang w:val="ru-RU" w:eastAsia="ru-RU" w:bidi="ru-RU"/>
      <w:b/>
      <w:bCs/>
      <w:w w:val="100"/>
      <w:spacing w:val="0"/>
      <w:color w:val="000000"/>
      <w:position w:val="0"/>
    </w:rPr>
  </w:style>
  <w:style w:type="character" w:customStyle="1" w:styleId="CharStyle19">
    <w:name w:val="Основной текст"/>
    <w:basedOn w:val="CharStyle16"/>
    <w:rPr>
      <w:lang w:val="en-US" w:eastAsia="en-US" w:bidi="en-US"/>
      <w:u w:val="single"/>
      <w:w w:val="100"/>
      <w:spacing w:val="0"/>
      <w:color w:val="000000"/>
      <w:position w:val="0"/>
    </w:rPr>
  </w:style>
  <w:style w:type="character" w:customStyle="1" w:styleId="CharStyle21">
    <w:name w:val="Заголовок №1_"/>
    <w:basedOn w:val="DefaultParagraphFont"/>
    <w:link w:val="Style20"/>
    <w:rPr>
      <w:b/>
      <w:bCs/>
      <w:i w:val="0"/>
      <w:iCs w:val="0"/>
      <w:u w:val="none"/>
      <w:strike w:val="0"/>
      <w:smallCaps w:val="0"/>
      <w:sz w:val="21"/>
      <w:szCs w:val="21"/>
      <w:rFonts w:ascii="Times New Roman" w:eastAsia="Times New Roman" w:hAnsi="Times New Roman" w:cs="Times New Roman"/>
    </w:rPr>
  </w:style>
  <w:style w:type="character" w:customStyle="1" w:styleId="CharStyle22">
    <w:name w:val="Основной текст + Интервал 0 pt"/>
    <w:basedOn w:val="CharStyle16"/>
    <w:rPr>
      <w:lang w:val="ru-RU" w:eastAsia="ru-RU" w:bidi="ru-RU"/>
      <w:w w:val="100"/>
      <w:spacing w:val="10"/>
      <w:color w:val="000000"/>
      <w:position w:val="0"/>
    </w:rPr>
  </w:style>
  <w:style w:type="character" w:customStyle="1" w:styleId="CharStyle24">
    <w:name w:val="Основной текст (5)_"/>
    <w:basedOn w:val="DefaultParagraphFont"/>
    <w:link w:val="Style23"/>
    <w:rPr>
      <w:b w:val="0"/>
      <w:bCs w:val="0"/>
      <w:i/>
      <w:iCs/>
      <w:u w:val="none"/>
      <w:strike w:val="0"/>
      <w:smallCaps w:val="0"/>
      <w:sz w:val="15"/>
      <w:szCs w:val="15"/>
      <w:rFonts w:ascii="Times New Roman" w:eastAsia="Times New Roman" w:hAnsi="Times New Roman" w:cs="Times New Roman"/>
    </w:rPr>
  </w:style>
  <w:style w:type="paragraph" w:customStyle="1" w:styleId="Style3">
    <w:name w:val="Основной текст (2)"/>
    <w:basedOn w:val="Normal"/>
    <w:link w:val="CharStyle15"/>
    <w:pPr>
      <w:widowControl w:val="0"/>
      <w:shd w:val="clear" w:color="auto" w:fill="FFFFFF"/>
      <w:jc w:val="right"/>
      <w:spacing w:line="274" w:lineRule="exact"/>
    </w:pPr>
    <w:rPr>
      <w:b/>
      <w:bCs/>
      <w:i w:val="0"/>
      <w:iCs w:val="0"/>
      <w:u w:val="none"/>
      <w:strike w:val="0"/>
      <w:smallCaps w:val="0"/>
      <w:sz w:val="21"/>
      <w:szCs w:val="21"/>
      <w:rFonts w:ascii="Times New Roman" w:eastAsia="Times New Roman" w:hAnsi="Times New Roman" w:cs="Times New Roman"/>
    </w:rPr>
  </w:style>
  <w:style w:type="paragraph" w:customStyle="1" w:styleId="Style5">
    <w:name w:val="Основной текст (3)"/>
    <w:basedOn w:val="Normal"/>
    <w:link w:val="CharStyle6"/>
    <w:pPr>
      <w:widowControl w:val="0"/>
      <w:shd w:val="clear" w:color="auto" w:fill="FFFFFF"/>
      <w:jc w:val="center"/>
      <w:spacing w:before="120" w:line="274" w:lineRule="exact"/>
    </w:pPr>
    <w:rPr>
      <w:b/>
      <w:bCs/>
      <w:i w:val="0"/>
      <w:iCs w:val="0"/>
      <w:u w:val="none"/>
      <w:strike w:val="0"/>
      <w:smallCaps w:val="0"/>
      <w:sz w:val="23"/>
      <w:szCs w:val="23"/>
      <w:rFonts w:ascii="Times New Roman" w:eastAsia="Times New Roman" w:hAnsi="Times New Roman" w:cs="Times New Roman"/>
      <w:spacing w:val="18"/>
    </w:rPr>
  </w:style>
  <w:style w:type="paragraph" w:customStyle="1" w:styleId="Style7">
    <w:name w:val="Основной текст (4)"/>
    <w:basedOn w:val="Normal"/>
    <w:link w:val="CharStyle8"/>
    <w:pPr>
      <w:widowControl w:val="0"/>
      <w:shd w:val="clear" w:color="auto" w:fill="FFFFFF"/>
      <w:jc w:val="center"/>
      <w:spacing w:after="180" w:line="230" w:lineRule="exact"/>
    </w:pPr>
    <w:rPr>
      <w:b w:val="0"/>
      <w:bCs w:val="0"/>
      <w:i w:val="0"/>
      <w:iCs w:val="0"/>
      <w:u w:val="none"/>
      <w:strike w:val="0"/>
      <w:smallCaps w:val="0"/>
      <w:sz w:val="16"/>
      <w:szCs w:val="16"/>
      <w:rFonts w:ascii="Times New Roman" w:eastAsia="Times New Roman" w:hAnsi="Times New Roman" w:cs="Times New Roman"/>
      <w:spacing w:val="11"/>
    </w:rPr>
  </w:style>
  <w:style w:type="paragraph" w:customStyle="1" w:styleId="Style10">
    <w:name w:val="Основной текст"/>
    <w:basedOn w:val="Normal"/>
    <w:link w:val="CharStyle16"/>
    <w:pPr>
      <w:widowControl w:val="0"/>
      <w:shd w:val="clear" w:color="auto" w:fill="FFFFFF"/>
      <w:jc w:val="right"/>
      <w:spacing w:line="274" w:lineRule="exact"/>
    </w:pPr>
    <w:rPr>
      <w:b w:val="0"/>
      <w:bCs w:val="0"/>
      <w:i w:val="0"/>
      <w:iCs w:val="0"/>
      <w:u w:val="none"/>
      <w:strike w:val="0"/>
      <w:smallCaps w:val="0"/>
      <w:sz w:val="21"/>
      <w:szCs w:val="21"/>
      <w:rFonts w:ascii="Times New Roman" w:eastAsia="Times New Roman" w:hAnsi="Times New Roman" w:cs="Times New Roman"/>
    </w:rPr>
  </w:style>
  <w:style w:type="paragraph" w:customStyle="1" w:styleId="Style20">
    <w:name w:val="Заголовок №1"/>
    <w:basedOn w:val="Normal"/>
    <w:link w:val="CharStyle21"/>
    <w:pPr>
      <w:widowControl w:val="0"/>
      <w:shd w:val="clear" w:color="auto" w:fill="FFFFFF"/>
      <w:jc w:val="center"/>
      <w:outlineLvl w:val="0"/>
      <w:spacing w:before="240" w:after="300" w:line="0" w:lineRule="exact"/>
    </w:pPr>
    <w:rPr>
      <w:b/>
      <w:bCs/>
      <w:i w:val="0"/>
      <w:iCs w:val="0"/>
      <w:u w:val="none"/>
      <w:strike w:val="0"/>
      <w:smallCaps w:val="0"/>
      <w:sz w:val="21"/>
      <w:szCs w:val="21"/>
      <w:rFonts w:ascii="Times New Roman" w:eastAsia="Times New Roman" w:hAnsi="Times New Roman" w:cs="Times New Roman"/>
    </w:rPr>
  </w:style>
  <w:style w:type="paragraph" w:customStyle="1" w:styleId="Style23">
    <w:name w:val="Основной текст (5)"/>
    <w:basedOn w:val="Normal"/>
    <w:link w:val="CharStyle24"/>
    <w:pPr>
      <w:widowControl w:val="0"/>
      <w:shd w:val="clear" w:color="auto" w:fill="FFFFFF"/>
      <w:jc w:val="both"/>
      <w:spacing w:before="1140" w:line="191" w:lineRule="exact"/>
      <w:ind w:firstLine="700"/>
    </w:pPr>
    <w:rPr>
      <w:b w:val="0"/>
      <w:bCs w:val="0"/>
      <w:i/>
      <w:iCs/>
      <w:u w:val="none"/>
      <w:strike w:val="0"/>
      <w:smallCaps w:val="0"/>
      <w:sz w:val="15"/>
      <w:szCs w:val="15"/>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