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26" w:after="208"/>
        <w:ind w:left="0" w:right="4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20" w:lineRule="exact"/>
        <w:ind w:left="0" w:right="20" w:firstLine="0"/>
      </w:pPr>
      <w:r>
        <w:rPr>
          <w:lang w:val="ru-RU" w:eastAsia="ru-RU" w:bidi="ru-RU"/>
          <w:w w:val="100"/>
          <w:spacing w:val="0"/>
          <w:color w:val="000000"/>
          <w:position w:val="0"/>
        </w:rPr>
        <w:t>УПРАВЛЕНИЕ</w:t>
      </w:r>
    </w:p>
    <w:p>
      <w:pPr>
        <w:pStyle w:val="Style3"/>
        <w:widowControl w:val="0"/>
        <w:keepNext w:val="0"/>
        <w:keepLines w:val="0"/>
        <w:shd w:val="clear" w:color="auto" w:fill="auto"/>
        <w:bidi w:val="0"/>
        <w:spacing w:before="0" w:after="219"/>
        <w:ind w:left="0" w:right="20" w:firstLine="0"/>
      </w:pPr>
      <w:r>
        <w:rPr>
          <w:lang w:val="ru-RU" w:eastAsia="ru-RU" w:bidi="ru-RU"/>
          <w:w w:val="100"/>
          <w:spacing w:val="0"/>
          <w:color w:val="000000"/>
          <w:position w:val="0"/>
        </w:rPr>
        <w:t>Федеральной антимонопольной службы по Архангельской области</w:t>
      </w:r>
    </w:p>
    <w:p>
      <w:pPr>
        <w:pStyle w:val="Style5"/>
        <w:widowControl w:val="0"/>
        <w:keepNext w:val="0"/>
        <w:keepLines w:val="0"/>
        <w:shd w:val="clear" w:color="auto" w:fill="auto"/>
        <w:bidi w:val="0"/>
        <w:spacing w:before="0" w:after="437"/>
        <w:ind w:left="0" w:right="20" w:firstLine="0"/>
      </w:pPr>
      <w:r>
        <w:rPr>
          <w:lang w:val="ru-RU" w:eastAsia="ru-RU" w:bidi="ru-RU"/>
          <w:w w:val="100"/>
          <w:spacing w:val="0"/>
          <w:color w:val="000000"/>
          <w:position w:val="0"/>
        </w:rPr>
        <w:t xml:space="preserve">ул. К.Либкнехта, 2, г.Архангельск, 163000 Тел.: (8182) 20-73-21, Факс: (8182) 21-54-45 </w:t>
      </w:r>
      <w:r>
        <w:rPr>
          <w:lang w:val="en-US" w:eastAsia="en-US" w:bidi="en-US"/>
          <w:w w:val="100"/>
          <w:spacing w:val="0"/>
          <w:color w:val="000000"/>
          <w:position w:val="0"/>
        </w:rPr>
        <w:t xml:space="preserve">e-mail: </w:t>
      </w:r>
      <w:r>
        <w:rPr>
          <w:rStyle w:val="CharStyle7"/>
          <w:b/>
          <w:bCs/>
        </w:rPr>
        <w:t>to29@.fas.gov.ru</w:t>
      </w:r>
    </w:p>
    <w:p>
      <w:pPr>
        <w:pStyle w:val="Style8"/>
        <w:tabs>
          <w:tab w:leader="underscore" w:pos="2230" w:val="right"/>
          <w:tab w:leader="none" w:pos="2502" w:val="left"/>
        </w:tabs>
        <w:widowControl w:val="0"/>
        <w:keepNext w:val="0"/>
        <w:keepLines w:val="0"/>
        <w:shd w:val="clear" w:color="auto" w:fill="auto"/>
        <w:bidi w:val="0"/>
        <w:spacing w:before="0" w:after="224" w:line="260" w:lineRule="exact"/>
        <w:ind w:left="20" w:right="0" w:firstLine="0"/>
      </w:pPr>
      <w:r>
        <w:rPr>
          <w:rStyle w:val="CharStyle10"/>
          <w:b w:val="0"/>
          <w:bCs w:val="0"/>
        </w:rPr>
        <w:t xml:space="preserve"> </w:t>
        <w:tab/>
        <w:t xml:space="preserve"> </w:t>
      </w:r>
      <w:r>
        <w:rPr>
          <w:lang w:val="ru-RU" w:eastAsia="ru-RU" w:bidi="ru-RU"/>
          <w:w w:val="100"/>
          <w:spacing w:val="0"/>
          <w:color w:val="000000"/>
          <w:position w:val="0"/>
        </w:rPr>
        <w:t>№</w:t>
        <w:tab/>
      </w:r>
      <w:r>
        <w:rPr>
          <w:rStyle w:val="CharStyle11"/>
          <w:b/>
          <w:bCs/>
        </w:rPr>
        <w:t xml:space="preserve">О»- РА/Л? </w:t>
      </w:r>
      <w:r>
        <w:rPr>
          <w:rStyle w:val="CharStyle12"/>
          <w:b/>
          <w:bCs/>
        </w:rPr>
        <w:t>?3</w:t>
      </w:r>
    </w:p>
    <w:p>
      <w:pPr>
        <w:pStyle w:val="Style13"/>
        <w:tabs>
          <w:tab w:leader="none" w:pos="2958" w:val="left"/>
          <w:tab w:leader="none" w:pos="2958" w:val="left"/>
          <w:tab w:leader="underscore" w:pos="4210" w:val="left"/>
        </w:tabs>
        <w:widowControl w:val="0"/>
        <w:keepNext w:val="0"/>
        <w:keepLines w:val="0"/>
        <w:shd w:val="clear" w:color="auto" w:fill="auto"/>
        <w:bidi w:val="0"/>
        <w:spacing w:before="0" w:after="0" w:line="210" w:lineRule="exact"/>
        <w:ind w:left="20" w:right="0" w:firstLine="0"/>
      </w:pPr>
      <w:r>
        <w:rPr>
          <w:lang w:val="ru-RU" w:eastAsia="ru-RU" w:bidi="ru-RU"/>
          <w:w w:val="100"/>
          <w:spacing w:val="0"/>
          <w:color w:val="000000"/>
          <w:position w:val="0"/>
        </w:rPr>
        <w:t>На №</w:t>
        <w:tab/>
        <w:t>от</w:t>
        <w:tab/>
        <w:tab/>
      </w:r>
    </w:p>
    <w:p>
      <w:pPr>
        <w:pStyle w:val="Style3"/>
        <w:widowControl w:val="0"/>
        <w:keepNext w:val="0"/>
        <w:keepLines w:val="0"/>
        <w:shd w:val="clear" w:color="auto" w:fill="auto"/>
        <w:bidi w:val="0"/>
        <w:jc w:val="left"/>
        <w:spacing w:before="0" w:after="204" w:line="250" w:lineRule="exact"/>
        <w:ind w:left="20" w:right="720" w:firstLine="0"/>
      </w:pPr>
      <w:r>
        <w:rPr>
          <w:lang w:val="ru-RU" w:eastAsia="ru-RU" w:bidi="ru-RU"/>
          <w:w w:val="100"/>
          <w:spacing w:val="0"/>
          <w:color w:val="000000"/>
          <w:position w:val="0"/>
        </w:rPr>
        <w:t>Дело № 15оз-21 029/06/67-92/2021</w:t>
      </w:r>
    </w:p>
    <w:p>
      <w:pPr>
        <w:pStyle w:val="Style3"/>
        <w:widowControl w:val="0"/>
        <w:keepNext w:val="0"/>
        <w:keepLines w:val="0"/>
        <w:shd w:val="clear" w:color="auto" w:fill="auto"/>
        <w:bidi w:val="0"/>
        <w:jc w:val="left"/>
        <w:spacing w:before="0" w:after="0" w:line="220" w:lineRule="exact"/>
        <w:ind w:left="20" w:right="0" w:firstLine="0"/>
      </w:pPr>
      <w:r>
        <w:rPr>
          <w:rStyle w:val="CharStyle15"/>
          <w:b/>
          <w:bCs/>
        </w:rPr>
        <w:t>Заказчик :</w:t>
      </w:r>
    </w:p>
    <w:p>
      <w:pPr>
        <w:pStyle w:val="Style3"/>
        <w:widowControl w:val="0"/>
        <w:keepNext w:val="0"/>
        <w:keepLines w:val="0"/>
        <w:shd w:val="clear" w:color="auto" w:fill="auto"/>
        <w:bidi w:val="0"/>
        <w:jc w:val="left"/>
        <w:spacing w:before="0" w:after="0"/>
        <w:ind w:left="20" w:right="720" w:firstLine="0"/>
      </w:pPr>
      <w:r>
        <w:rPr>
          <w:lang w:val="ru-RU" w:eastAsia="ru-RU" w:bidi="ru-RU"/>
          <w:w w:val="100"/>
          <w:spacing w:val="0"/>
          <w:color w:val="000000"/>
          <w:position w:val="0"/>
        </w:rPr>
        <w:t>ГБУЗ АО "Первая городская клиническая больница имени Е.Е. Волосевич"</w:t>
      </w:r>
    </w:p>
    <w:p>
      <w:pPr>
        <w:pStyle w:val="Style13"/>
        <w:widowControl w:val="0"/>
        <w:keepNext w:val="0"/>
        <w:keepLines w:val="0"/>
        <w:shd w:val="clear" w:color="auto" w:fill="auto"/>
        <w:bidi w:val="0"/>
        <w:jc w:val="left"/>
        <w:spacing w:before="0" w:after="180" w:line="250" w:lineRule="exact"/>
        <w:ind w:left="20" w:right="720" w:firstLine="0"/>
      </w:pPr>
      <w:r>
        <w:rPr>
          <w:lang w:val="ru-RU" w:eastAsia="ru-RU" w:bidi="ru-RU"/>
          <w:w w:val="100"/>
          <w:spacing w:val="0"/>
          <w:color w:val="000000"/>
          <w:position w:val="0"/>
        </w:rPr>
        <w:t xml:space="preserve">Архангельск г, улица Суворова, дом 1 </w:t>
      </w:r>
      <w:r>
        <w:rPr>
          <w:lang w:val="en-US" w:eastAsia="en-US" w:bidi="en-US"/>
          <w:w w:val="100"/>
          <w:spacing w:val="0"/>
          <w:color w:val="000000"/>
          <w:position w:val="0"/>
        </w:rPr>
        <w:t xml:space="preserve">E-mail: </w:t>
      </w:r>
      <w:r>
        <w:fldChar w:fldCharType="begin"/>
      </w:r>
      <w:r>
        <w:rPr>
          <w:color w:val="000000"/>
        </w:rPr>
        <w:instrText> HYPERLINK "mailto:otdzak@list.ru" </w:instrText>
      </w:r>
      <w:r>
        <w:fldChar w:fldCharType="separate"/>
      </w:r>
      <w:r>
        <w:rPr>
          <w:rStyle w:val="Hyperlink"/>
          <w:lang w:val="en-US" w:eastAsia="en-US" w:bidi="en-US"/>
          <w:w w:val="100"/>
          <w:spacing w:val="0"/>
          <w:position w:val="0"/>
        </w:rPr>
        <w:t>otdzak@list.ru</w:t>
      </w:r>
      <w:r>
        <w:fldChar w:fldCharType="end"/>
      </w:r>
    </w:p>
    <w:p>
      <w:pPr>
        <w:pStyle w:val="Style3"/>
        <w:widowControl w:val="0"/>
        <w:keepNext w:val="0"/>
        <w:keepLines w:val="0"/>
        <w:shd w:val="clear" w:color="auto" w:fill="auto"/>
        <w:bidi w:val="0"/>
        <w:jc w:val="left"/>
        <w:spacing w:before="0" w:after="0" w:line="250" w:lineRule="exact"/>
        <w:ind w:left="20" w:right="720" w:firstLine="0"/>
      </w:pPr>
      <w:r>
        <w:rPr>
          <w:rStyle w:val="CharStyle15"/>
          <w:b/>
          <w:bCs/>
        </w:rPr>
        <w:t>Уполномоченный орган (единая</w:t>
      </w:r>
      <w:r>
        <w:rPr>
          <w:lang w:val="ru-RU" w:eastAsia="ru-RU" w:bidi="ru-RU"/>
          <w:w w:val="100"/>
          <w:spacing w:val="0"/>
          <w:color w:val="000000"/>
          <w:position w:val="0"/>
        </w:rPr>
        <w:t xml:space="preserve"> </w:t>
      </w:r>
      <w:r>
        <w:rPr>
          <w:rStyle w:val="CharStyle15"/>
          <w:b/>
          <w:bCs/>
        </w:rPr>
        <w:t>комиссия):</w:t>
      </w:r>
    </w:p>
    <w:p>
      <w:pPr>
        <w:pStyle w:val="Style3"/>
        <w:widowControl w:val="0"/>
        <w:keepNext w:val="0"/>
        <w:keepLines w:val="0"/>
        <w:shd w:val="clear" w:color="auto" w:fill="auto"/>
        <w:bidi w:val="0"/>
        <w:jc w:val="left"/>
        <w:spacing w:before="0" w:after="0" w:line="250" w:lineRule="exact"/>
        <w:ind w:left="20" w:right="280" w:firstLine="0"/>
      </w:pPr>
      <w:r>
        <w:rPr>
          <w:lang w:val="ru-RU" w:eastAsia="ru-RU" w:bidi="ru-RU"/>
          <w:w w:val="100"/>
          <w:spacing w:val="0"/>
          <w:color w:val="000000"/>
          <w:position w:val="0"/>
        </w:rPr>
        <w:t>Контрактное агентство Архангельской области</w:t>
      </w:r>
    </w:p>
    <w:p>
      <w:pPr>
        <w:pStyle w:val="Style13"/>
        <w:widowControl w:val="0"/>
        <w:keepNext w:val="0"/>
        <w:keepLines w:val="0"/>
        <w:shd w:val="clear" w:color="auto" w:fill="auto"/>
        <w:bidi w:val="0"/>
        <w:jc w:val="left"/>
        <w:spacing w:before="0" w:after="0" w:line="250" w:lineRule="exact"/>
        <w:ind w:left="20" w:right="280" w:firstLine="0"/>
      </w:pPr>
      <w:r>
        <w:rPr>
          <w:lang w:val="ru-RU" w:eastAsia="ru-RU" w:bidi="ru-RU"/>
          <w:w w:val="100"/>
          <w:spacing w:val="0"/>
          <w:color w:val="000000"/>
          <w:position w:val="0"/>
        </w:rPr>
        <w:t xml:space="preserve">163069, г. Архангельск, ул.Выучейского, </w:t>
      </w:r>
      <w:r>
        <w:rPr>
          <w:rStyle w:val="CharStyle16"/>
        </w:rPr>
        <w:t xml:space="preserve">Д. </w:t>
      </w:r>
      <w:r>
        <w:rPr>
          <w:lang w:val="ru-RU" w:eastAsia="ru-RU" w:bidi="ru-RU"/>
          <w:w w:val="100"/>
          <w:spacing w:val="0"/>
          <w:color w:val="000000"/>
          <w:position w:val="0"/>
        </w:rPr>
        <w:t>18,</w:t>
      </w:r>
    </w:p>
    <w:p>
      <w:pPr>
        <w:pStyle w:val="Style13"/>
        <w:widowControl w:val="0"/>
        <w:keepNext w:val="0"/>
        <w:keepLines w:val="0"/>
        <w:shd w:val="clear" w:color="auto" w:fill="auto"/>
        <w:bidi w:val="0"/>
        <w:jc w:val="left"/>
        <w:spacing w:before="0" w:after="180" w:line="250"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"mailto:dkp@dvinaland.ru" </w:instrText>
      </w:r>
      <w:r>
        <w:fldChar w:fldCharType="separate"/>
      </w:r>
      <w:r>
        <w:rPr>
          <w:rStyle w:val="Hyperlink"/>
          <w:lang w:val="en-US" w:eastAsia="en-US" w:bidi="en-US"/>
          <w:w w:val="100"/>
          <w:spacing w:val="0"/>
          <w:position w:val="0"/>
        </w:rPr>
        <w:t>dkp@dvinaland.ru</w:t>
      </w:r>
      <w:r>
        <w:fldChar w:fldCharType="end"/>
      </w:r>
    </w:p>
    <w:p>
      <w:pPr>
        <w:pStyle w:val="Style3"/>
        <w:widowControl w:val="0"/>
        <w:keepNext w:val="0"/>
        <w:keepLines w:val="0"/>
        <w:shd w:val="clear" w:color="auto" w:fill="auto"/>
        <w:bidi w:val="0"/>
        <w:jc w:val="left"/>
        <w:spacing w:before="0" w:after="0" w:line="250" w:lineRule="exact"/>
        <w:ind w:left="20" w:right="0" w:firstLine="0"/>
      </w:pPr>
      <w:r>
        <w:rPr>
          <w:rStyle w:val="CharStyle15"/>
          <w:b/>
          <w:bCs/>
        </w:rPr>
        <w:t>Оператор электронной площадки:</w:t>
      </w:r>
    </w:p>
    <w:p>
      <w:pPr>
        <w:pStyle w:val="Style3"/>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АО «Сбербанк-АСТ»</w:t>
      </w:r>
    </w:p>
    <w:p>
      <w:pPr>
        <w:pStyle w:val="Style13"/>
        <w:widowControl w:val="0"/>
        <w:keepNext w:val="0"/>
        <w:keepLines w:val="0"/>
        <w:shd w:val="clear" w:color="auto" w:fill="auto"/>
        <w:bidi w:val="0"/>
        <w:jc w:val="left"/>
        <w:spacing w:before="0" w:after="180" w:line="250" w:lineRule="exact"/>
        <w:ind w:left="20" w:right="0" w:firstLine="0"/>
      </w:pPr>
      <w:r>
        <w:rPr>
          <w:lang w:val="ru-RU" w:eastAsia="ru-RU" w:bidi="ru-RU"/>
          <w:w w:val="100"/>
          <w:spacing w:val="0"/>
          <w:color w:val="000000"/>
          <w:position w:val="0"/>
        </w:rPr>
        <w:t xml:space="preserve">119435, г. Москва, Большой Саввинский переулок, д. 12, стр. 9 </w:t>
      </w: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3"/>
        <w:widowControl w:val="0"/>
        <w:keepNext w:val="0"/>
        <w:keepLines w:val="0"/>
        <w:shd w:val="clear" w:color="auto" w:fill="auto"/>
        <w:bidi w:val="0"/>
        <w:jc w:val="left"/>
        <w:spacing w:before="0" w:after="0" w:line="250" w:lineRule="exact"/>
        <w:ind w:left="20" w:right="0" w:firstLine="0"/>
      </w:pPr>
      <w:r>
        <w:rPr>
          <w:rStyle w:val="CharStyle15"/>
          <w:b/>
          <w:bCs/>
        </w:rPr>
        <w:t>Заявитель:</w:t>
      </w:r>
    </w:p>
    <w:p>
      <w:pPr>
        <w:pStyle w:val="Style3"/>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ООО «ВИТАЛОН»</w:t>
      </w:r>
    </w:p>
    <w:p>
      <w:pPr>
        <w:pStyle w:val="Style13"/>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119048, г. Москва, Комсомольский проспект, д. 42, стр. 1</w:t>
      </w:r>
    </w:p>
    <w:p>
      <w:pPr>
        <w:pStyle w:val="Style13"/>
        <w:widowControl w:val="0"/>
        <w:keepNext w:val="0"/>
        <w:keepLines w:val="0"/>
        <w:shd w:val="clear" w:color="auto" w:fill="auto"/>
        <w:bidi w:val="0"/>
        <w:jc w:val="left"/>
        <w:spacing w:before="0" w:after="0" w:line="250" w:lineRule="exact"/>
        <w:ind w:left="20" w:right="0" w:firstLine="0"/>
        <w:sectPr>
          <w:footnotePr>
            <w:pos w:val="pageBottom"/>
            <w:numFmt w:val="decimal"/>
            <w:numRestart w:val="continuous"/>
          </w:footnotePr>
          <w:type w:val="continuous"/>
          <w:pgSz w:w="11906" w:h="16838"/>
          <w:pgMar w:top="545" w:left="1524" w:right="1082" w:bottom="545" w:header="0" w:footer="3" w:gutter="0"/>
          <w:rtlGutter w:val="0"/>
          <w:cols w:num="2" w:space="859"/>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"mailto:tender@vitalonpharm.ru" </w:instrText>
      </w:r>
      <w:r>
        <w:fldChar w:fldCharType="separate"/>
      </w:r>
      <w:r>
        <w:rPr>
          <w:rStyle w:val="Hyperlink"/>
          <w:lang w:val="en-US" w:eastAsia="en-US" w:bidi="en-US"/>
          <w:w w:val="100"/>
          <w:spacing w:val="0"/>
          <w:position w:val="0"/>
        </w:rPr>
        <w:t>tender@vitalonpharm.ru</w:t>
      </w:r>
      <w:r>
        <w:fldChar w:fldCharType="end"/>
      </w:r>
    </w:p>
    <w:p>
      <w:pPr>
        <w:widowControl w:val="0"/>
        <w:spacing w:line="240" w:lineRule="exact"/>
        <w:rPr>
          <w:sz w:val="19"/>
          <w:szCs w:val="19"/>
        </w:rPr>
      </w:pPr>
    </w:p>
    <w:p>
      <w:pPr>
        <w:widowControl w:val="0"/>
        <w:spacing w:before="53" w:after="5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33" w:line="220" w:lineRule="exact"/>
        <w:ind w:left="0" w:right="0" w:firstLine="0"/>
      </w:pPr>
      <w:r>
        <w:rPr>
          <w:lang w:val="ru-RU" w:eastAsia="ru-RU" w:bidi="ru-RU"/>
          <w:w w:val="100"/>
          <w:spacing w:val="0"/>
          <w:color w:val="000000"/>
          <w:position w:val="0"/>
        </w:rPr>
        <w:t>РЕШЕНИЕ</w:t>
      </w:r>
    </w:p>
    <w:p>
      <w:pPr>
        <w:pStyle w:val="Style3"/>
        <w:tabs>
          <w:tab w:leader="none" w:pos="7974" w:val="left"/>
        </w:tabs>
        <w:widowControl w:val="0"/>
        <w:keepNext w:val="0"/>
        <w:keepLines w:val="0"/>
        <w:shd w:val="clear" w:color="auto" w:fill="auto"/>
        <w:bidi w:val="0"/>
        <w:jc w:val="both"/>
        <w:spacing w:before="0" w:after="95" w:line="220" w:lineRule="exact"/>
        <w:ind w:left="40" w:right="0" w:firstLine="0"/>
      </w:pPr>
      <w:r>
        <w:rPr>
          <w:lang w:val="ru-RU" w:eastAsia="ru-RU" w:bidi="ru-RU"/>
          <w:w w:val="100"/>
          <w:spacing w:val="0"/>
          <w:color w:val="000000"/>
          <w:position w:val="0"/>
        </w:rPr>
        <w:t>05 февраля 2021 года</w:t>
        <w:tab/>
        <w:t>г. Архангельск</w:t>
      </w:r>
    </w:p>
    <w:p>
      <w:pPr>
        <w:pStyle w:val="Style17"/>
        <w:widowControl w:val="0"/>
        <w:keepNext w:val="0"/>
        <w:keepLines w:val="0"/>
        <w:shd w:val="clear" w:color="auto" w:fill="auto"/>
        <w:bidi w:val="0"/>
        <w:spacing w:before="0" w:after="0"/>
        <w:ind w:left="40" w:right="20" w:firstLine="540"/>
      </w:pPr>
      <w:r>
        <w:rPr>
          <w:lang w:val="ru-RU" w:eastAsia="ru-RU" w:bidi="ru-RU"/>
          <w:w w:val="100"/>
          <w:spacing w:val="0"/>
          <w:color w:val="000000"/>
          <w:position w:val="0"/>
        </w:rPr>
        <w:t xml:space="preserve">Руководствуясь Письмом ФАС России от 03.04.2020 г. </w:t>
      </w:r>
      <w:r>
        <w:rPr>
          <w:lang w:val="en-US" w:eastAsia="en-US" w:bidi="en-US"/>
          <w:w w:val="100"/>
          <w:spacing w:val="0"/>
          <w:color w:val="000000"/>
          <w:position w:val="0"/>
        </w:rPr>
        <w:t xml:space="preserve">N </w:t>
      </w:r>
      <w:r>
        <w:rPr>
          <w:lang w:val="ru-RU" w:eastAsia="ru-RU" w:bidi="ru-RU"/>
          <w:w w:val="100"/>
          <w:spacing w:val="0"/>
          <w:color w:val="000000"/>
          <w:position w:val="0"/>
        </w:rPr>
        <w:t>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w:t>
      </w:r>
    </w:p>
    <w:p>
      <w:pPr>
        <w:pStyle w:val="Style17"/>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3"/>
        <w:widowControl w:val="0"/>
        <w:keepNext w:val="0"/>
        <w:keepLines w:val="0"/>
        <w:shd w:val="clear" w:color="auto" w:fill="auto"/>
        <w:bidi w:val="0"/>
        <w:jc w:val="both"/>
        <w:spacing w:before="0" w:after="0" w:line="274" w:lineRule="exact"/>
        <w:ind w:left="40" w:right="0" w:firstLine="700"/>
      </w:pPr>
      <w:r>
        <w:rPr>
          <w:rStyle w:val="CharStyle15"/>
          <w:b/>
          <w:bCs/>
        </w:rPr>
        <w:t>Председатель комиссии:</w:t>
      </w:r>
    </w:p>
    <w:p>
      <w:pPr>
        <w:pStyle w:val="Style17"/>
        <w:tabs>
          <w:tab w:leader="none" w:pos="2213" w:val="left"/>
        </w:tabs>
        <w:widowControl w:val="0"/>
        <w:keepNext w:val="0"/>
        <w:keepLines w:val="0"/>
        <w:shd w:val="clear" w:color="auto" w:fill="auto"/>
        <w:bidi w:val="0"/>
        <w:spacing w:before="0" w:after="80" w:line="220" w:lineRule="exact"/>
        <w:ind w:left="40" w:right="0" w:firstLine="0"/>
      </w:pPr>
      <w:r>
        <w:rPr>
          <w:lang w:val="ru-RU" w:eastAsia="ru-RU" w:bidi="ru-RU"/>
          <w:w w:val="100"/>
          <w:spacing w:val="0"/>
          <w:color w:val="000000"/>
          <w:position w:val="0"/>
        </w:rPr>
        <w:t>Короткова И.Ю.</w:t>
        <w:tab/>
        <w:t>Заместитель руководителя Управления - начальник отдела контроля</w:t>
      </w:r>
    </w:p>
    <w:p>
      <w:pPr>
        <w:pStyle w:val="Style17"/>
        <w:widowControl w:val="0"/>
        <w:keepNext w:val="0"/>
        <w:keepLines w:val="0"/>
        <w:shd w:val="clear" w:color="auto" w:fill="auto"/>
        <w:bidi w:val="0"/>
        <w:jc w:val="left"/>
        <w:spacing w:before="0" w:after="89" w:line="220" w:lineRule="exact"/>
        <w:ind w:left="2260" w:right="0" w:firstLine="0"/>
      </w:pPr>
      <w:r>
        <w:rPr>
          <w:lang w:val="ru-RU" w:eastAsia="ru-RU" w:bidi="ru-RU"/>
          <w:w w:val="100"/>
          <w:spacing w:val="0"/>
          <w:color w:val="000000"/>
          <w:position w:val="0"/>
        </w:rPr>
        <w:t>закупок,</w:t>
      </w:r>
    </w:p>
    <w:p>
      <w:pPr>
        <w:pStyle w:val="Style3"/>
        <w:widowControl w:val="0"/>
        <w:keepNext w:val="0"/>
        <w:keepLines w:val="0"/>
        <w:shd w:val="clear" w:color="auto" w:fill="auto"/>
        <w:bidi w:val="0"/>
        <w:jc w:val="both"/>
        <w:spacing w:before="0" w:after="0" w:line="269" w:lineRule="exact"/>
        <w:ind w:left="40" w:right="0" w:firstLine="700"/>
      </w:pPr>
      <w:r>
        <w:rPr>
          <w:rStyle w:val="CharStyle15"/>
          <w:b/>
          <w:bCs/>
        </w:rPr>
        <w:t>Члены комиссии:</w:t>
      </w:r>
    </w:p>
    <w:p>
      <w:pPr>
        <w:pStyle w:val="Style17"/>
        <w:tabs>
          <w:tab w:leader="none" w:pos="2213" w:val="left"/>
        </w:tabs>
        <w:widowControl w:val="0"/>
        <w:keepNext w:val="0"/>
        <w:keepLines w:val="0"/>
        <w:shd w:val="clear" w:color="auto" w:fill="auto"/>
        <w:bidi w:val="0"/>
        <w:spacing w:before="0" w:after="0" w:line="269" w:lineRule="exact"/>
        <w:ind w:left="40" w:right="0" w:firstLine="0"/>
      </w:pPr>
      <w:r>
        <w:rPr>
          <w:lang w:val="ru-RU" w:eastAsia="ru-RU" w:bidi="ru-RU"/>
          <w:w w:val="100"/>
          <w:spacing w:val="0"/>
          <w:color w:val="000000"/>
          <w:position w:val="0"/>
        </w:rPr>
        <w:t>Малышева О.С.</w:t>
        <w:tab/>
        <w:t>Заместитель начальника отдела контроля закупок;</w:t>
      </w:r>
    </w:p>
    <w:p>
      <w:pPr>
        <w:pStyle w:val="Style17"/>
        <w:tabs>
          <w:tab w:leader="none" w:pos="2213" w:val="left"/>
        </w:tabs>
        <w:widowControl w:val="0"/>
        <w:keepNext w:val="0"/>
        <w:keepLines w:val="0"/>
        <w:shd w:val="clear" w:color="auto" w:fill="auto"/>
        <w:bidi w:val="0"/>
        <w:spacing w:before="0" w:after="0" w:line="269" w:lineRule="exact"/>
        <w:ind w:left="40" w:right="0" w:firstLine="0"/>
      </w:pPr>
      <w:r>
        <w:rPr>
          <w:lang w:val="ru-RU" w:eastAsia="ru-RU" w:bidi="ru-RU"/>
          <w:w w:val="100"/>
          <w:spacing w:val="0"/>
          <w:color w:val="000000"/>
          <w:position w:val="0"/>
        </w:rPr>
        <w:t>Кузнецова Е.Н.</w:t>
        <w:tab/>
        <w:t>Специалист-эксперт отдела контроля закупок;</w:t>
      </w:r>
    </w:p>
    <w:p>
      <w:pPr>
        <w:pStyle w:val="Style17"/>
        <w:widowControl w:val="0"/>
        <w:keepNext w:val="0"/>
        <w:keepLines w:val="0"/>
        <w:shd w:val="clear" w:color="auto" w:fill="auto"/>
        <w:bidi w:val="0"/>
        <w:spacing w:before="0" w:after="0" w:line="269" w:lineRule="exact"/>
        <w:ind w:left="40" w:right="20" w:firstLine="700"/>
      </w:pPr>
      <w:r>
        <w:rPr>
          <w:lang w:val="ru-RU" w:eastAsia="ru-RU" w:bidi="ru-RU"/>
          <w:w w:val="100"/>
          <w:spacing w:val="0"/>
          <w:color w:val="000000"/>
          <w:position w:val="0"/>
        </w:rPr>
        <w:t xml:space="preserve">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w:t>
      </w:r>
      <w:r>
        <w:rPr>
          <w:rStyle w:val="CharStyle19"/>
        </w:rPr>
        <w:t>в присутствии представителей от:</w:t>
      </w:r>
    </w:p>
    <w:p>
      <w:pPr>
        <w:pStyle w:val="Style17"/>
        <w:widowControl w:val="0"/>
        <w:keepNext w:val="0"/>
        <w:keepLines w:val="0"/>
        <w:shd w:val="clear" w:color="auto" w:fill="auto"/>
        <w:bidi w:val="0"/>
        <w:spacing w:before="0" w:after="0" w:line="269" w:lineRule="exact"/>
        <w:ind w:left="40" w:right="20" w:firstLine="700"/>
      </w:pPr>
      <w:r>
        <w:rPr>
          <w:lang w:val="ru-RU" w:eastAsia="ru-RU" w:bidi="ru-RU"/>
          <w:w w:val="100"/>
          <w:spacing w:val="0"/>
          <w:color w:val="000000"/>
          <w:position w:val="0"/>
        </w:rPr>
        <w:t>Заказчика: Зеленина К.Н. (доверенность №1005 от 04.02.2021), Клюкиной Е.В. (доверенность № 571 от 22.01.2021), Кожберовой Е.А. (доверенность №1006 от 04.02.2021);</w:t>
      </w:r>
    </w:p>
    <w:p>
      <w:pPr>
        <w:pStyle w:val="Style17"/>
        <w:widowControl w:val="0"/>
        <w:keepNext w:val="0"/>
        <w:keepLines w:val="0"/>
        <w:shd w:val="clear" w:color="auto" w:fill="auto"/>
        <w:bidi w:val="0"/>
        <w:spacing w:before="0" w:after="0"/>
        <w:ind w:left="20" w:right="0" w:firstLine="720"/>
      </w:pPr>
      <w:r>
        <w:rPr>
          <w:rStyle w:val="CharStyle20"/>
        </w:rPr>
        <w:t xml:space="preserve">Уполномоченного органа: </w:t>
      </w:r>
      <w:r>
        <w:rPr>
          <w:lang w:val="ru-RU" w:eastAsia="ru-RU" w:bidi="ru-RU"/>
          <w:w w:val="100"/>
          <w:spacing w:val="0"/>
          <w:color w:val="000000"/>
          <w:position w:val="0"/>
        </w:rPr>
        <w:t>Низовцева Д.Б. (доверенность от 16.06.2020 № 56-Д);</w:t>
      </w:r>
    </w:p>
    <w:p>
      <w:pPr>
        <w:pStyle w:val="Style17"/>
        <w:widowControl w:val="0"/>
        <w:keepNext w:val="0"/>
        <w:keepLines w:val="0"/>
        <w:shd w:val="clear" w:color="auto" w:fill="auto"/>
        <w:bidi w:val="0"/>
        <w:spacing w:before="0" w:after="283"/>
        <w:ind w:left="20" w:right="40" w:firstLine="720"/>
      </w:pPr>
      <w:r>
        <w:rPr>
          <w:rStyle w:val="CharStyle20"/>
        </w:rPr>
        <w:t xml:space="preserve">Заявитель </w:t>
      </w:r>
      <w:r>
        <w:rPr>
          <w:lang w:val="ru-RU" w:eastAsia="ru-RU" w:bidi="ru-RU"/>
          <w:w w:val="100"/>
          <w:spacing w:val="0"/>
          <w:color w:val="000000"/>
          <w:position w:val="0"/>
        </w:rPr>
        <w:t>уведомлен надлежащим образом о времени и месте рассмотрения настоящего дела, своего представителя не направил.</w:t>
      </w:r>
    </w:p>
    <w:p>
      <w:pPr>
        <w:pStyle w:val="Style3"/>
        <w:widowControl w:val="0"/>
        <w:keepNext w:val="0"/>
        <w:keepLines w:val="0"/>
        <w:shd w:val="clear" w:color="auto" w:fill="auto"/>
        <w:bidi w:val="0"/>
        <w:jc w:val="left"/>
        <w:spacing w:before="0" w:after="205" w:line="220" w:lineRule="exact"/>
        <w:ind w:left="4280" w:right="0" w:firstLine="0"/>
      </w:pPr>
      <w:r>
        <w:rPr>
          <w:lang w:val="ru-RU" w:eastAsia="ru-RU" w:bidi="ru-RU"/>
          <w:w w:val="100"/>
          <w:spacing w:val="0"/>
          <w:color w:val="000000"/>
          <w:position w:val="0"/>
        </w:rPr>
        <w:t>УСТАНОВИЛА:</w:t>
      </w:r>
    </w:p>
    <w:p>
      <w:pPr>
        <w:pStyle w:val="Style17"/>
        <w:widowControl w:val="0"/>
        <w:keepNext w:val="0"/>
        <w:keepLines w:val="0"/>
        <w:shd w:val="clear" w:color="auto" w:fill="auto"/>
        <w:bidi w:val="0"/>
        <w:spacing w:before="0" w:after="103"/>
        <w:ind w:left="20" w:right="40" w:firstLine="720"/>
      </w:pPr>
      <w:r>
        <w:rPr>
          <w:lang w:val="ru-RU" w:eastAsia="ru-RU" w:bidi="ru-RU"/>
          <w:w w:val="100"/>
          <w:spacing w:val="0"/>
          <w:color w:val="000000"/>
          <w:position w:val="0"/>
        </w:rPr>
        <w:t>29 января 2021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«ВИТАЛОН» (далее - Заявитель) на действия единой комиссии, созданной уполномоченным органом Контрактным агентством Архангельской области (далее - Уполномоченный орган, единая комиссия) при проведении электронного аукциона на право заключения контракта на поставку лекарственных препаратов для медицинского применения Эпоэтин альфа (извещение №0124200000620008103).</w:t>
      </w:r>
    </w:p>
    <w:p>
      <w:pPr>
        <w:pStyle w:val="Style3"/>
        <w:widowControl w:val="0"/>
        <w:keepNext w:val="0"/>
        <w:keepLines w:val="0"/>
        <w:shd w:val="clear" w:color="auto" w:fill="auto"/>
        <w:bidi w:val="0"/>
        <w:jc w:val="both"/>
        <w:spacing w:before="0" w:after="0" w:line="220" w:lineRule="exact"/>
        <w:ind w:left="20" w:right="0" w:firstLine="720"/>
      </w:pPr>
      <w:r>
        <w:rPr>
          <w:rStyle w:val="CharStyle15"/>
          <w:b/>
          <w:bCs/>
        </w:rPr>
        <w:t>Содержание жалобы:</w:t>
      </w:r>
    </w:p>
    <w:p>
      <w:pPr>
        <w:pStyle w:val="Style17"/>
        <w:widowControl w:val="0"/>
        <w:keepNext w:val="0"/>
        <w:keepLines w:val="0"/>
        <w:shd w:val="clear" w:color="auto" w:fill="auto"/>
        <w:bidi w:val="0"/>
        <w:spacing w:before="0" w:after="240" w:line="269" w:lineRule="exact"/>
        <w:ind w:left="20" w:right="40" w:firstLine="720"/>
      </w:pPr>
      <w:r>
        <w:rPr>
          <w:lang w:val="ru-RU" w:eastAsia="ru-RU" w:bidi="ru-RU"/>
          <w:w w:val="100"/>
          <w:spacing w:val="0"/>
          <w:color w:val="000000"/>
          <w:position w:val="0"/>
        </w:rPr>
        <w:t>Обжалуются действия единой комиссии в связи с отказом ООО «ВИТАЛОН» в допуске к участию в электронном аукционе по результатам рассмотрения первых частей заявок на участие в электронном аукционе.</w:t>
      </w:r>
    </w:p>
    <w:p>
      <w:pPr>
        <w:pStyle w:val="Style17"/>
        <w:widowControl w:val="0"/>
        <w:keepNext w:val="0"/>
        <w:keepLines w:val="0"/>
        <w:shd w:val="clear" w:color="auto" w:fill="auto"/>
        <w:bidi w:val="0"/>
        <w:spacing w:before="0" w:after="0" w:line="269" w:lineRule="exact"/>
        <w:ind w:left="20" w:right="40" w:firstLine="720"/>
      </w:pPr>
      <w:r>
        <w:rPr>
          <w:lang w:val="ru-RU" w:eastAsia="ru-RU" w:bidi="ru-RU"/>
          <w:w w:val="100"/>
          <w:spacing w:val="0"/>
          <w:color w:val="000000"/>
          <w:position w:val="0"/>
        </w:rPr>
        <w:t>Заказчик - ГБУЗ АО "Первая городская клиническая больница имени Е.Е. Волосевич" (далее - Заказчик) не согласен с доводами Заявителя по основаниям, изложенным в объяснении по жалобе от 03.02.2021 №950.</w:t>
      </w:r>
    </w:p>
    <w:p>
      <w:pPr>
        <w:pStyle w:val="Style17"/>
        <w:widowControl w:val="0"/>
        <w:keepNext w:val="0"/>
        <w:keepLines w:val="0"/>
        <w:shd w:val="clear" w:color="auto" w:fill="auto"/>
        <w:bidi w:val="0"/>
        <w:spacing w:before="0" w:after="0"/>
        <w:ind w:left="20" w:right="40" w:firstLine="720"/>
      </w:pPr>
      <w:r>
        <w:rPr>
          <w:lang w:val="ru-RU" w:eastAsia="ru-RU" w:bidi="ru-RU"/>
          <w:w w:val="100"/>
          <w:spacing w:val="0"/>
          <w:color w:val="000000"/>
          <w:position w:val="0"/>
        </w:rPr>
        <w:t>Уполномоченный орган не согласен с доводами Заявителя по основаниям, изложенным в объяснении по жалобе от 03.02.2021 №950.</w:t>
      </w:r>
    </w:p>
    <w:p>
      <w:pPr>
        <w:pStyle w:val="Style3"/>
        <w:widowControl w:val="0"/>
        <w:keepNext w:val="0"/>
        <w:keepLines w:val="0"/>
        <w:shd w:val="clear" w:color="auto" w:fill="auto"/>
        <w:bidi w:val="0"/>
        <w:jc w:val="both"/>
        <w:spacing w:before="0" w:after="0" w:line="269" w:lineRule="exact"/>
        <w:ind w:left="20" w:right="40" w:firstLine="72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17"/>
        <w:widowControl w:val="0"/>
        <w:keepNext w:val="0"/>
        <w:keepLines w:val="0"/>
        <w:shd w:val="clear" w:color="auto" w:fill="auto"/>
        <w:bidi w:val="0"/>
        <w:spacing w:before="0" w:after="0" w:line="264" w:lineRule="exact"/>
        <w:ind w:left="20" w:right="40" w:firstLine="720"/>
      </w:pPr>
      <w:r>
        <w:rPr>
          <w:lang w:val="ru-RU" w:eastAsia="ru-RU" w:bidi="ru-RU"/>
          <w:w w:val="100"/>
          <w:spacing w:val="0"/>
          <w:color w:val="000000"/>
          <w:position w:val="0"/>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17"/>
        <w:widowControl w:val="0"/>
        <w:keepNext w:val="0"/>
        <w:keepLines w:val="0"/>
        <w:shd w:val="clear" w:color="auto" w:fill="auto"/>
        <w:bidi w:val="0"/>
        <w:spacing w:before="0" w:after="0" w:line="264" w:lineRule="exact"/>
        <w:ind w:left="20" w:right="40" w:firstLine="720"/>
      </w:pPr>
      <w:r>
        <w:rPr>
          <w:lang w:val="ru-RU" w:eastAsia="ru-RU" w:bidi="ru-RU"/>
          <w:w w:val="100"/>
          <w:spacing w:val="0"/>
          <w:color w:val="000000"/>
          <w:position w:val="0"/>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 пп).</w:t>
      </w:r>
    </w:p>
    <w:p>
      <w:pPr>
        <w:pStyle w:val="Style17"/>
        <w:widowControl w:val="0"/>
        <w:keepNext w:val="0"/>
        <w:keepLines w:val="0"/>
        <w:shd w:val="clear" w:color="auto" w:fill="auto"/>
        <w:bidi w:val="0"/>
        <w:spacing w:before="0" w:after="0" w:line="264" w:lineRule="exact"/>
        <w:ind w:left="20" w:right="40" w:firstLine="720"/>
      </w:pPr>
      <w:r>
        <w:rPr>
          <w:lang w:val="ru-RU" w:eastAsia="ru-RU" w:bidi="ru-RU"/>
          <w:w w:val="100"/>
          <w:spacing w:val="0"/>
          <w:color w:val="000000"/>
          <w:position w:val="0"/>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подготавливает документацию об электронном аукционе, и организует осуществление закупки.</w:t>
      </w:r>
    </w:p>
    <w:p>
      <w:pPr>
        <w:pStyle w:val="Style17"/>
        <w:numPr>
          <w:ilvl w:val="0"/>
          <w:numId w:val="1"/>
        </w:numPr>
        <w:tabs>
          <w:tab w:leader="none" w:pos="1941" w:val="left"/>
        </w:tabs>
        <w:widowControl w:val="0"/>
        <w:keepNext w:val="0"/>
        <w:keepLines w:val="0"/>
        <w:shd w:val="clear" w:color="auto" w:fill="auto"/>
        <w:bidi w:val="0"/>
        <w:spacing w:before="0" w:after="0" w:line="264" w:lineRule="exact"/>
        <w:ind w:left="20" w:right="40" w:firstLine="720"/>
      </w:pPr>
      <w:r>
        <w:rPr>
          <w:lang w:val="ru-RU" w:eastAsia="ru-RU" w:bidi="ru-RU"/>
          <w:w w:val="100"/>
          <w:spacing w:val="0"/>
          <w:color w:val="000000"/>
          <w:position w:val="0"/>
        </w:rPr>
        <w:t xml:space="preserve">Уполномоченным органом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 0124200000620008103 о проведении электронного аукциона и документация об электронном аукционе на право заключения контракта на поставку лекарственных препаратов для медицинского применения Эпоэтин альфа (далее - документация об аукционе).</w:t>
      </w:r>
    </w:p>
    <w:p>
      <w:pPr>
        <w:pStyle w:val="Style17"/>
        <w:widowControl w:val="0"/>
        <w:keepNext w:val="0"/>
        <w:keepLines w:val="0"/>
        <w:shd w:val="clear" w:color="auto" w:fill="auto"/>
        <w:bidi w:val="0"/>
        <w:spacing w:before="0" w:after="0" w:line="264" w:lineRule="exact"/>
        <w:ind w:left="20" w:right="0" w:firstLine="720"/>
      </w:pPr>
      <w:r>
        <w:rPr>
          <w:lang w:val="ru-RU" w:eastAsia="ru-RU" w:bidi="ru-RU"/>
          <w:w w:val="100"/>
          <w:spacing w:val="0"/>
          <w:color w:val="000000"/>
          <w:position w:val="0"/>
        </w:rPr>
        <w:t>Начальная (максимальная) цена контракта - 378 784,50 рубля.</w:t>
      </w:r>
    </w:p>
    <w:p>
      <w:pPr>
        <w:pStyle w:val="Style17"/>
        <w:widowControl w:val="0"/>
        <w:keepNext w:val="0"/>
        <w:keepLines w:val="0"/>
        <w:shd w:val="clear" w:color="auto" w:fill="auto"/>
        <w:bidi w:val="0"/>
        <w:spacing w:before="0" w:after="0"/>
        <w:ind w:left="40" w:right="0" w:firstLine="700"/>
      </w:pPr>
      <w:r>
        <w:rPr>
          <w:lang w:val="ru-RU" w:eastAsia="ru-RU" w:bidi="ru-RU"/>
          <w:w w:val="100"/>
          <w:spacing w:val="0"/>
          <w:color w:val="000000"/>
          <w:position w:val="0"/>
        </w:rPr>
        <w:t>Оператор электронной площадки - АО «Сбербанк-</w:t>
      </w:r>
      <w:r>
        <w:rPr>
          <w:lang w:val="en-US" w:eastAsia="en-US" w:bidi="en-US"/>
          <w:w w:val="100"/>
          <w:spacing w:val="0"/>
          <w:color w:val="000000"/>
          <w:position w:val="0"/>
        </w:rPr>
        <w:t>ACT</w:t>
      </w:r>
      <w:r>
        <w:rPr>
          <w:lang w:val="ru-RU" w:eastAsia="ru-RU" w:bidi="ru-RU"/>
          <w:w w:val="100"/>
          <w:spacing w:val="0"/>
          <w:color w:val="000000"/>
          <w:position w:val="0"/>
        </w:rPr>
        <w:t>».</w:t>
      </w:r>
    </w:p>
    <w:p>
      <w:pPr>
        <w:pStyle w:val="Style17"/>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 xml:space="preserve">23.12.2021 внесены изменения в извещение и в документацию об аукционе (далее </w:t>
      </w:r>
      <w:r>
        <w:rPr>
          <w:rStyle w:val="CharStyle21"/>
        </w:rPr>
        <w:t xml:space="preserve">- </w:t>
      </w:r>
      <w:r>
        <w:rPr>
          <w:lang w:val="ru-RU" w:eastAsia="ru-RU" w:bidi="ru-RU"/>
          <w:w w:val="100"/>
          <w:spacing w:val="0"/>
          <w:color w:val="000000"/>
          <w:position w:val="0"/>
        </w:rPr>
        <w:t>Изменения от 23.12.2020).</w:t>
      </w:r>
    </w:p>
    <w:p>
      <w:pPr>
        <w:pStyle w:val="Style17"/>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В соответствии с протоколом рассмотрения заявок на участие в электронном аукционе от 25.01.2021 было подано 3 заявки, которым были присвоены порядковые номера 59, 162, 163.</w:t>
      </w:r>
    </w:p>
    <w:p>
      <w:pPr>
        <w:pStyle w:val="Style17"/>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В ходе изучения материалов дела установлено, что заявка Заявителя была зарегистрирована под номером 162.</w:t>
      </w:r>
    </w:p>
    <w:p>
      <w:pPr>
        <w:pStyle w:val="Style17"/>
        <w:tabs>
          <w:tab w:leader="underscore" w:pos="7422" w:val="left"/>
          <w:tab w:leader="underscore" w:pos="10234" w:val="left"/>
        </w:tabs>
        <w:widowControl w:val="0"/>
        <w:keepNext w:val="0"/>
        <w:keepLines w:val="0"/>
        <w:shd w:val="clear" w:color="auto" w:fill="auto"/>
        <w:bidi w:val="0"/>
        <w:spacing w:before="0" w:after="0"/>
        <w:ind w:left="40" w:right="0" w:firstLine="700"/>
      </w:pPr>
      <w:r>
        <w:rPr>
          <w:lang w:val="ru-RU" w:eastAsia="ru-RU" w:bidi="ru-RU"/>
          <w:w w:val="100"/>
          <w:spacing w:val="0"/>
          <w:color w:val="000000"/>
          <w:position w:val="0"/>
        </w:rPr>
        <w:t>Согласно протоколу рассмотрения заявок на участие в электронном аукционе от</w:t>
      </w:r>
    </w:p>
    <w:p>
      <w:pPr>
        <w:pStyle w:val="Style17"/>
        <w:numPr>
          <w:ilvl w:val="0"/>
          <w:numId w:val="3"/>
        </w:numPr>
        <w:tabs>
          <w:tab w:leader="underscore" w:pos="6722" w:val="left"/>
          <w:tab w:leader="underscore" w:pos="9534" w:val="left"/>
          <w:tab w:leader="none" w:pos="1230" w:val="left"/>
        </w:tabs>
        <w:widowControl w:val="0"/>
        <w:keepNext w:val="0"/>
        <w:keepLines w:val="0"/>
        <w:shd w:val="clear" w:color="auto" w:fill="auto"/>
        <w:bidi w:val="0"/>
        <w:spacing w:before="0" w:after="0"/>
        <w:ind w:left="40" w:right="40" w:firstLine="0"/>
      </w:pPr>
      <w:r>
        <w:rPr>
          <w:lang w:val="ru-RU" w:eastAsia="ru-RU" w:bidi="ru-RU"/>
          <w:w w:val="100"/>
          <w:spacing w:val="0"/>
          <w:color w:val="000000"/>
          <w:position w:val="0"/>
        </w:rPr>
        <w:t xml:space="preserve">участнику с порядковым номером заявки 163 было отказано в допуске к участию в электронном аукционе «на основании пункта 2 части 4 статьи 67 ФЗ «О контрактной системе»: несоответствие информации, предусмотренной подпунктом «б» пункта 2 части 3 статьи 66 ФЗ «О контрактной системе», требованиям документации о таком аукционе, а именно, не соответствие требованиям, установленным в разделе </w:t>
      </w:r>
      <w:r>
        <w:rPr>
          <w:rStyle w:val="CharStyle20"/>
        </w:rPr>
        <w:t xml:space="preserve">II </w:t>
      </w:r>
      <w:r>
        <w:rPr>
          <w:lang w:val="ru-RU" w:eastAsia="ru-RU" w:bidi="ru-RU"/>
          <w:w w:val="100"/>
          <w:spacing w:val="0"/>
          <w:color w:val="000000"/>
          <w:position w:val="0"/>
        </w:rPr>
        <w:t xml:space="preserve">«Сведения о товаре, на поставку которого осуществляется закупка, и об условиях контракта» документации об </w:t>
      </w:r>
      <w:r>
        <w:rPr>
          <w:rStyle w:val="CharStyle22"/>
        </w:rPr>
        <w:t>электронном аукционе :</w:t>
      </w:r>
      <w:r>
        <w:rPr>
          <w:lang w:val="ru-RU" w:eastAsia="ru-RU" w:bidi="ru-RU"/>
          <w:w w:val="100"/>
          <w:spacing w:val="0"/>
          <w:color w:val="000000"/>
          <w:position w:val="0"/>
        </w:rPr>
        <w:tab/>
        <w:tab/>
      </w:r>
    </w:p>
    <w:tbl>
      <w:tblPr>
        <w:tblOverlap w:val="never"/>
        <w:tblLayout w:type="fixed"/>
        <w:jc w:val="center"/>
      </w:tblPr>
      <w:tblGrid>
        <w:gridCol w:w="533"/>
        <w:gridCol w:w="1685"/>
        <w:gridCol w:w="1690"/>
        <w:gridCol w:w="2760"/>
        <w:gridCol w:w="2832"/>
      </w:tblGrid>
      <w:tr>
        <w:trPr>
          <w:trHeight w:val="1013" w:hRule="exact"/>
        </w:trPr>
        <w:tc>
          <w:tcPr>
            <w:shd w:val="clear" w:color="auto" w:fill="FFFFFF"/>
            <w:tcBorders>
              <w:left w:val="single" w:sz="4"/>
              <w:top w:val="single" w:sz="4"/>
            </w:tcBorders>
            <w:vAlign w:val="top"/>
          </w:tcPr>
          <w:p>
            <w:pPr>
              <w:pStyle w:val="Style17"/>
              <w:framePr w:w="9499" w:wrap="notBeside" w:vAnchor="text" w:hAnchor="text" w:xAlign="center" w:y="1"/>
              <w:widowControl w:val="0"/>
              <w:keepNext w:val="0"/>
              <w:keepLines w:val="0"/>
              <w:shd w:val="clear" w:color="auto" w:fill="auto"/>
              <w:bidi w:val="0"/>
              <w:jc w:val="left"/>
              <w:spacing w:before="0" w:after="60" w:line="210" w:lineRule="exact"/>
              <w:ind w:left="160" w:right="0" w:firstLine="0"/>
            </w:pPr>
            <w:r>
              <w:rPr>
                <w:rStyle w:val="CharStyle23"/>
              </w:rPr>
              <w:t>№</w:t>
            </w:r>
          </w:p>
          <w:p>
            <w:pPr>
              <w:pStyle w:val="Style17"/>
              <w:framePr w:w="9499" w:wrap="notBeside" w:vAnchor="text" w:hAnchor="text" w:xAlign="center" w:y="1"/>
              <w:widowControl w:val="0"/>
              <w:keepNext w:val="0"/>
              <w:keepLines w:val="0"/>
              <w:shd w:val="clear" w:color="auto" w:fill="auto"/>
              <w:bidi w:val="0"/>
              <w:jc w:val="left"/>
              <w:spacing w:before="60" w:after="0" w:line="210" w:lineRule="exact"/>
              <w:ind w:left="160" w:right="0" w:firstLine="0"/>
            </w:pPr>
            <w:r>
              <w:rPr>
                <w:rStyle w:val="CharStyle23"/>
              </w:rPr>
              <w:t>п/п</w:t>
            </w:r>
          </w:p>
        </w:tc>
        <w:tc>
          <w:tcPr>
            <w:shd w:val="clear" w:color="auto" w:fill="FFFFFF"/>
            <w:gridSpan w:val="3"/>
            <w:tcBorders>
              <w:left w:val="single" w:sz="4"/>
              <w:top w:val="single" w:sz="4"/>
            </w:tcBorders>
            <w:vAlign w:val="top"/>
          </w:tcPr>
          <w:p>
            <w:pPr>
              <w:pStyle w:val="Style17"/>
              <w:framePr w:w="9499"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3"/>
              </w:rPr>
              <w:t>Характеристики товара, установленные заказчиком</w:t>
            </w:r>
          </w:p>
        </w:tc>
        <w:tc>
          <w:tcPr>
            <w:shd w:val="clear" w:color="auto" w:fill="FFFFFF"/>
            <w:tcBorders>
              <w:left w:val="single" w:sz="4"/>
              <w:right w:val="single" w:sz="4"/>
              <w:top w:val="single" w:sz="4"/>
            </w:tcBorders>
            <w:vAlign w:val="bottom"/>
          </w:tcPr>
          <w:p>
            <w:pPr>
              <w:pStyle w:val="Style17"/>
              <w:framePr w:w="9499"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3"/>
              </w:rPr>
              <w:t>Характеристики товара, предлагаемого для поставки участником закупки</w:t>
            </w:r>
          </w:p>
        </w:tc>
      </w:tr>
      <w:tr>
        <w:trPr>
          <w:trHeight w:val="763" w:hRule="exact"/>
        </w:trPr>
        <w:tc>
          <w:tcPr>
            <w:shd w:val="clear" w:color="auto" w:fill="FFFFFF"/>
            <w:tcBorders>
              <w:left w:val="single" w:sz="4"/>
              <w:top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7"/>
              <w:framePr w:w="9499"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23"/>
              </w:rPr>
              <w:t>Эпоэтин альфа</w:t>
            </w:r>
          </w:p>
        </w:tc>
        <w:tc>
          <w:tcPr>
            <w:shd w:val="clear" w:color="auto" w:fill="FFFFFF"/>
            <w:tcBorders>
              <w:left w:val="single" w:sz="4"/>
              <w:top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17"/>
              <w:framePr w:w="9499"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23"/>
              </w:rPr>
              <w:t>МНН: Эпоэтин альфа</w:t>
            </w:r>
          </w:p>
        </w:tc>
      </w:tr>
      <w:tr>
        <w:trPr>
          <w:trHeight w:val="389" w:hRule="exact"/>
        </w:trPr>
        <w:tc>
          <w:tcPr>
            <w:shd w:val="clear" w:color="auto" w:fill="FFFFFF"/>
            <w:tcBorders>
              <w:left w:val="single" w:sz="4"/>
              <w:top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7"/>
              <w:framePr w:w="9499"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23"/>
              </w:rPr>
              <w:t>Дозировка</w:t>
            </w:r>
          </w:p>
        </w:tc>
        <w:tc>
          <w:tcPr>
            <w:shd w:val="clear" w:color="auto" w:fill="FFFFFF"/>
            <w:tcBorders>
              <w:left w:val="single" w:sz="4"/>
              <w:top w:val="single" w:sz="4"/>
            </w:tcBorders>
            <w:vAlign w:val="top"/>
          </w:tcPr>
          <w:p>
            <w:pPr>
              <w:pStyle w:val="Style17"/>
              <w:framePr w:w="9499"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 xml:space="preserve">10000 ЕД/мл-0,25 </w:t>
            </w:r>
            <w:r>
              <w:rPr>
                <w:rStyle w:val="CharStyle23"/>
              </w:rPr>
              <w:t>мл*</w:t>
            </w:r>
          </w:p>
        </w:tc>
        <w:tc>
          <w:tcPr>
            <w:shd w:val="clear" w:color="auto" w:fill="FFFFFF"/>
            <w:tcBorders>
              <w:left w:val="single" w:sz="4"/>
              <w:right w:val="single" w:sz="4"/>
            </w:tcBorders>
            <w:vAlign w:val="top"/>
          </w:tcPr>
          <w:p>
            <w:pPr>
              <w:pStyle w:val="Style17"/>
              <w:framePr w:w="9499"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3"/>
              </w:rPr>
              <w:t xml:space="preserve">Дозировка: </w:t>
            </w:r>
            <w:r>
              <w:rPr>
                <w:rStyle w:val="CharStyle24"/>
              </w:rPr>
              <w:t xml:space="preserve">10 000 </w:t>
            </w:r>
            <w:r>
              <w:rPr>
                <w:rStyle w:val="CharStyle23"/>
              </w:rPr>
              <w:t>МЕ/мл</w:t>
            </w:r>
          </w:p>
        </w:tc>
      </w:tr>
      <w:tr>
        <w:trPr>
          <w:trHeight w:val="394" w:hRule="exact"/>
        </w:trPr>
        <w:tc>
          <w:tcPr>
            <w:shd w:val="clear" w:color="auto" w:fill="FFFFFF"/>
            <w:tcBorders>
              <w:left w:val="single" w:sz="4"/>
              <w:top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7"/>
              <w:framePr w:w="9499"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3"/>
              </w:rPr>
              <w:t xml:space="preserve">Форма выпуска: </w:t>
            </w:r>
            <w:r>
              <w:rPr>
                <w:rStyle w:val="CharStyle24"/>
              </w:rPr>
              <w:t>10 000</w:t>
            </w:r>
          </w:p>
        </w:tc>
      </w:tr>
      <w:tr>
        <w:trPr>
          <w:trHeight w:val="384" w:hRule="exact"/>
        </w:trPr>
        <w:tc>
          <w:tcPr>
            <w:shd w:val="clear" w:color="auto" w:fill="FFFFFF"/>
            <w:gridSpan w:val="4"/>
            <w:tcBorders>
              <w:left w:val="single" w:sz="4"/>
              <w:top w:val="single" w:sz="4"/>
            </w:tcBorders>
            <w:vAlign w:val="top"/>
          </w:tcPr>
          <w:p>
            <w:pPr>
              <w:pStyle w:val="Style17"/>
              <w:framePr w:w="9499"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3"/>
              </w:rPr>
              <w:t>ИЛИ</w:t>
            </w:r>
          </w:p>
        </w:tc>
        <w:tc>
          <w:tcPr>
            <w:shd w:val="clear" w:color="auto" w:fill="FFFFFF"/>
            <w:tcBorders>
              <w:left w:val="single" w:sz="4"/>
              <w:right w:val="single" w:sz="4"/>
            </w:tcBorders>
            <w:vAlign w:val="top"/>
          </w:tcPr>
          <w:p>
            <w:pPr>
              <w:pStyle w:val="Style17"/>
              <w:framePr w:w="9499"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4"/>
              </w:rPr>
              <w:t>МЕ/мл ампулы №10</w:t>
            </w:r>
          </w:p>
        </w:tc>
      </w:tr>
      <w:tr>
        <w:trPr>
          <w:trHeight w:val="259" w:hRule="exact"/>
        </w:trPr>
        <w:tc>
          <w:tcPr>
            <w:shd w:val="clear" w:color="auto" w:fill="FFFFFF"/>
            <w:tcBorders>
              <w:left w:val="single" w:sz="4"/>
              <w:top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7"/>
              <w:framePr w:w="9499"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23"/>
              </w:rPr>
              <w:t>Эпоэтин альфа</w:t>
            </w:r>
          </w:p>
        </w:tc>
        <w:tc>
          <w:tcPr>
            <w:shd w:val="clear" w:color="auto" w:fill="FFFFFF"/>
            <w:tcBorders>
              <w:left w:val="single" w:sz="4"/>
              <w:top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9499" w:wrap="notBeside" w:vAnchor="text" w:hAnchor="text" w:xAlign="center" w:y="1"/>
              <w:widowControl w:val="0"/>
              <w:rPr>
                <w:sz w:val="10"/>
                <w:szCs w:val="10"/>
              </w:rPr>
            </w:pPr>
          </w:p>
        </w:tc>
      </w:tr>
      <w:tr>
        <w:trPr>
          <w:trHeight w:val="254" w:hRule="exact"/>
        </w:trPr>
        <w:tc>
          <w:tcPr>
            <w:shd w:val="clear" w:color="auto" w:fill="FFFFFF"/>
            <w:tcBorders>
              <w:left w:val="single" w:sz="4"/>
              <w:top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499"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7"/>
              <w:framePr w:w="9499"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23"/>
              </w:rPr>
              <w:t>Дозировка</w:t>
            </w:r>
          </w:p>
        </w:tc>
        <w:tc>
          <w:tcPr>
            <w:shd w:val="clear" w:color="auto" w:fill="FFFFFF"/>
            <w:tcBorders>
              <w:left w:val="single" w:sz="4"/>
              <w:top w:val="single" w:sz="4"/>
            </w:tcBorders>
            <w:vAlign w:val="bottom"/>
          </w:tcPr>
          <w:p>
            <w:pPr>
              <w:pStyle w:val="Style17"/>
              <w:framePr w:w="9499"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 xml:space="preserve">2500 ЕД - 0,25 </w:t>
            </w:r>
            <w:r>
              <w:rPr>
                <w:rStyle w:val="CharStyle23"/>
              </w:rPr>
              <w:t>мл*</w:t>
            </w:r>
          </w:p>
        </w:tc>
        <w:tc>
          <w:tcPr>
            <w:shd w:val="clear" w:color="auto" w:fill="FFFFFF"/>
            <w:tcBorders>
              <w:left w:val="single" w:sz="4"/>
              <w:right w:val="single" w:sz="4"/>
            </w:tcBorders>
            <w:vAlign w:val="top"/>
          </w:tcPr>
          <w:p>
            <w:pPr>
              <w:framePr w:w="9499" w:wrap="notBeside" w:vAnchor="text" w:hAnchor="text" w:xAlign="center" w:y="1"/>
              <w:widowControl w:val="0"/>
              <w:rPr>
                <w:sz w:val="10"/>
                <w:szCs w:val="10"/>
              </w:rPr>
            </w:pPr>
          </w:p>
        </w:tc>
      </w:tr>
      <w:tr>
        <w:trPr>
          <w:trHeight w:val="3062" w:hRule="exact"/>
        </w:trPr>
        <w:tc>
          <w:tcPr>
            <w:shd w:val="clear" w:color="auto" w:fill="FFFFFF"/>
            <w:tcBorders>
              <w:left w:val="single" w:sz="4"/>
              <w:top w:val="single" w:sz="4"/>
              <w:bottom w:val="single" w:sz="4"/>
            </w:tcBorders>
            <w:vAlign w:val="top"/>
          </w:tcPr>
          <w:p>
            <w:pPr>
              <w:framePr w:w="9499" w:wrap="notBeside" w:vAnchor="text" w:hAnchor="text" w:xAlign="center" w:y="1"/>
              <w:widowControl w:val="0"/>
              <w:rPr>
                <w:sz w:val="10"/>
                <w:szCs w:val="10"/>
              </w:rPr>
            </w:pPr>
          </w:p>
        </w:tc>
        <w:tc>
          <w:tcPr>
            <w:shd w:val="clear" w:color="auto" w:fill="FFFFFF"/>
            <w:gridSpan w:val="3"/>
            <w:tcBorders>
              <w:left w:val="single" w:sz="4"/>
              <w:top w:val="single" w:sz="4"/>
              <w:bottom w:val="single" w:sz="4"/>
            </w:tcBorders>
            <w:vAlign w:val="top"/>
          </w:tcPr>
          <w:p>
            <w:pPr>
              <w:pStyle w:val="Style17"/>
              <w:framePr w:w="9499"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3"/>
              </w:rPr>
              <w:t xml:space="preserve">* дозировка лекарственного препарата в первичной упаковке - 2500 </w:t>
            </w:r>
            <w:r>
              <w:rPr>
                <w:rStyle w:val="CharStyle23"/>
                <w:lang w:val="en-US" w:eastAsia="en-US" w:bidi="en-US"/>
              </w:rPr>
              <w:t xml:space="preserve">ME </w:t>
            </w:r>
            <w:r>
              <w:rPr>
                <w:rStyle w:val="CharStyle23"/>
              </w:rPr>
              <w:t xml:space="preserve">предусмотрена для однократного подкожного введения пациентам, страдающим хронической почечной недостаточностью. Пересчет количества </w:t>
            </w:r>
            <w:r>
              <w:rPr>
                <w:rStyle w:val="CharStyle23"/>
                <w:lang w:val="en-US" w:eastAsia="en-US" w:bidi="en-US"/>
              </w:rPr>
              <w:t xml:space="preserve">ME </w:t>
            </w:r>
            <w:r>
              <w:rPr>
                <w:rStyle w:val="CharStyle23"/>
              </w:rPr>
              <w:t>в первичной упаковке не предусмотрен. Заявленные дозировки лекарственного препарата установлены исходя из потребностей лечебного процесса. Требование к дозировке обусловлено потребностью специалистов для лечения пациентов нефрологического профиля, необходимо для рационального формирования лечебной дозы конкретному больному без потери препарата и для эффективного расходования средств учреждения</w:t>
            </w:r>
          </w:p>
        </w:tc>
        <w:tc>
          <w:tcPr>
            <w:shd w:val="clear" w:color="auto" w:fill="FFFFFF"/>
            <w:tcBorders>
              <w:left w:val="single" w:sz="4"/>
              <w:right w:val="single" w:sz="4"/>
              <w:bottom w:val="single" w:sz="4"/>
            </w:tcBorders>
            <w:vAlign w:val="top"/>
          </w:tcPr>
          <w:p>
            <w:pPr>
              <w:framePr w:w="9499" w:wrap="notBeside" w:vAnchor="text" w:hAnchor="text" w:xAlign="center" w:y="1"/>
              <w:widowControl w:val="0"/>
              <w:rPr>
                <w:sz w:val="10"/>
                <w:szCs w:val="10"/>
              </w:rPr>
            </w:pPr>
          </w:p>
        </w:tc>
      </w:tr>
    </w:tbl>
    <w:p>
      <w:pPr>
        <w:widowControl w:val="0"/>
        <w:rPr>
          <w:sz w:val="2"/>
          <w:szCs w:val="2"/>
        </w:rPr>
      </w:pPr>
    </w:p>
    <w:p>
      <w:pPr>
        <w:pStyle w:val="Style25"/>
        <w:widowControl w:val="0"/>
        <w:keepNext/>
        <w:keepLines/>
        <w:shd w:val="clear" w:color="auto" w:fill="auto"/>
        <w:bidi w:val="0"/>
        <w:spacing w:before="0" w:after="0" w:line="200" w:lineRule="exact"/>
        <w:ind w:left="40" w:right="0"/>
      </w:pPr>
      <w:bookmarkStart w:id="0" w:name="bookmark0"/>
      <w:r>
        <w:rPr>
          <w:lang w:val="ru-RU" w:eastAsia="ru-RU" w:bidi="ru-RU"/>
          <w:w w:val="100"/>
          <w:spacing w:val="0"/>
          <w:color w:val="000000"/>
          <w:position w:val="0"/>
        </w:rPr>
        <w:t>».</w:t>
      </w:r>
      <w:bookmarkEnd w:id="0"/>
    </w:p>
    <w:p>
      <w:pPr>
        <w:pStyle w:val="Style17"/>
        <w:widowControl w:val="0"/>
        <w:keepNext w:val="0"/>
        <w:keepLines w:val="0"/>
        <w:shd w:val="clear" w:color="auto" w:fill="auto"/>
        <w:bidi w:val="0"/>
        <w:spacing w:before="0" w:after="0" w:line="259" w:lineRule="exact"/>
        <w:ind w:left="40" w:right="40" w:firstLine="700"/>
      </w:pPr>
      <w:r>
        <w:rPr>
          <w:lang w:val="ru-RU" w:eastAsia="ru-RU" w:bidi="ru-RU"/>
          <w:w w:val="100"/>
          <w:spacing w:val="0"/>
          <w:color w:val="000000"/>
          <w:position w:val="0"/>
        </w:rPr>
        <w:t>Согласно части 3 статьи 66 ФЗ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17"/>
        <w:numPr>
          <w:ilvl w:val="0"/>
          <w:numId w:val="5"/>
        </w:numPr>
        <w:widowControl w:val="0"/>
        <w:keepNext w:val="0"/>
        <w:keepLines w:val="0"/>
        <w:shd w:val="clear" w:color="auto" w:fill="auto"/>
        <w:bidi w:val="0"/>
        <w:spacing w:before="0" w:after="0" w:line="259" w:lineRule="exact"/>
        <w:ind w:left="40" w:right="40" w:firstLine="70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17"/>
        <w:numPr>
          <w:ilvl w:val="0"/>
          <w:numId w:val="5"/>
        </w:numPr>
        <w:widowControl w:val="0"/>
        <w:keepNext w:val="0"/>
        <w:keepLines w:val="0"/>
        <w:shd w:val="clear" w:color="auto" w:fill="auto"/>
        <w:bidi w:val="0"/>
        <w:spacing w:before="0" w:after="0" w:line="259" w:lineRule="exact"/>
        <w:ind w:left="40" w:right="40" w:firstLine="70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17"/>
        <w:widowControl w:val="0"/>
        <w:keepNext w:val="0"/>
        <w:keepLines w:val="0"/>
        <w:shd w:val="clear" w:color="auto" w:fill="auto"/>
        <w:bidi w:val="0"/>
        <w:spacing w:before="0" w:after="0" w:line="259" w:lineRule="exact"/>
        <w:ind w:left="40" w:right="0" w:firstLine="700"/>
      </w:pPr>
      <w:r>
        <w:rPr>
          <w:lang w:val="ru-RU" w:eastAsia="ru-RU" w:bidi="ru-RU"/>
          <w:w w:val="100"/>
          <w:spacing w:val="0"/>
          <w:color w:val="000000"/>
          <w:position w:val="0"/>
        </w:rPr>
        <w:t>а) наименование страны происхождения товара;</w:t>
      </w:r>
    </w:p>
    <w:p>
      <w:pPr>
        <w:pStyle w:val="Style17"/>
        <w:widowControl w:val="0"/>
        <w:keepNext w:val="0"/>
        <w:keepLines w:val="0"/>
        <w:shd w:val="clear" w:color="auto" w:fill="auto"/>
        <w:bidi w:val="0"/>
        <w:spacing w:before="0" w:after="0" w:line="259" w:lineRule="exact"/>
        <w:ind w:left="40" w:right="40" w:firstLine="70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17"/>
        <w:widowControl w:val="0"/>
        <w:keepNext w:val="0"/>
        <w:keepLines w:val="0"/>
        <w:shd w:val="clear" w:color="auto" w:fill="auto"/>
        <w:bidi w:val="0"/>
        <w:spacing w:before="0" w:after="0" w:line="264" w:lineRule="exact"/>
        <w:ind w:left="40" w:right="40" w:firstLine="860"/>
      </w:pPr>
      <w:r>
        <w:rPr>
          <w:lang w:val="ru-RU" w:eastAsia="ru-RU" w:bidi="ru-RU"/>
          <w:w w:val="100"/>
          <w:spacing w:val="0"/>
          <w:color w:val="000000"/>
          <w:position w:val="0"/>
        </w:rPr>
        <w:t>В пункте 11 «Требования к содержанию и составу заявки на участие в электронном аукционе» раздела I «Общие положения» документации об аукционе установлены аналогичные требования.</w:t>
      </w:r>
    </w:p>
    <w:p>
      <w:pPr>
        <w:pStyle w:val="Style17"/>
        <w:widowControl w:val="0"/>
        <w:keepNext w:val="0"/>
        <w:keepLines w:val="0"/>
        <w:shd w:val="clear" w:color="auto" w:fill="auto"/>
        <w:bidi w:val="0"/>
        <w:spacing w:before="0" w:after="7" w:line="264" w:lineRule="exact"/>
        <w:ind w:left="40" w:right="40" w:firstLine="860"/>
      </w:pPr>
      <w:r>
        <w:rPr>
          <w:lang w:val="ru-RU" w:eastAsia="ru-RU" w:bidi="ru-RU"/>
          <w:w w:val="100"/>
          <w:spacing w:val="0"/>
          <w:color w:val="000000"/>
          <w:position w:val="0"/>
        </w:rPr>
        <w:t>Часть 1 раздела II «Сведения о товаре, на поставку которого осуществляется закупка, и об условиях контракта» документации об аукционе (в соответствии с изменениями от 23.12.2020) содержит таблицу, в которой установлены требования к товарам, в том числе:</w:t>
      </w:r>
    </w:p>
    <w:p>
      <w:pPr>
        <w:pStyle w:val="Style27"/>
        <w:framePr w:w="9600" w:wrap="notBeside" w:vAnchor="text" w:hAnchor="text" w:xAlign="center" w:y="1"/>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w:t>
      </w:r>
    </w:p>
    <w:tbl>
      <w:tblPr>
        <w:tblOverlap w:val="never"/>
        <w:tblLayout w:type="fixed"/>
        <w:jc w:val="center"/>
      </w:tblPr>
      <w:tblGrid>
        <w:gridCol w:w="437"/>
        <w:gridCol w:w="2750"/>
        <w:gridCol w:w="2366"/>
        <w:gridCol w:w="2155"/>
        <w:gridCol w:w="965"/>
        <w:gridCol w:w="926"/>
      </w:tblGrid>
      <w:tr>
        <w:trPr>
          <w:trHeight w:val="3048" w:hRule="exact"/>
        </w:trPr>
        <w:tc>
          <w:tcPr>
            <w:shd w:val="clear" w:color="auto" w:fill="FFFFFF"/>
            <w:tcBorders>
              <w:left w:val="single" w:sz="4"/>
              <w:top w:val="single" w:sz="4"/>
            </w:tcBorders>
            <w:vAlign w:val="center"/>
          </w:tcPr>
          <w:p>
            <w:pPr>
              <w:pStyle w:val="Style17"/>
              <w:framePr w:w="9600"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29"/>
              </w:rPr>
              <w:t>№</w:t>
            </w:r>
          </w:p>
        </w:tc>
        <w:tc>
          <w:tcPr>
            <w:shd w:val="clear" w:color="auto" w:fill="FFFFFF"/>
            <w:tcBorders>
              <w:left w:val="single" w:sz="4"/>
              <w:top w:val="single" w:sz="4"/>
            </w:tcBorders>
            <w:vAlign w:val="bottom"/>
          </w:tcPr>
          <w:p>
            <w:pPr>
              <w:pStyle w:val="Style17"/>
              <w:framePr w:w="9600" w:wrap="notBeside" w:vAnchor="text" w:hAnchor="text" w:xAlign="center" w:y="1"/>
              <w:widowControl w:val="0"/>
              <w:keepNext w:val="0"/>
              <w:keepLines w:val="0"/>
              <w:shd w:val="clear" w:color="auto" w:fill="auto"/>
              <w:bidi w:val="0"/>
              <w:jc w:val="center"/>
              <w:spacing w:before="0" w:after="0"/>
              <w:ind w:left="0" w:right="0" w:firstLine="0"/>
            </w:pPr>
            <w:r>
              <w:rPr>
                <w:rStyle w:val="CharStyle24"/>
              </w:rPr>
              <w:t>Наименование объекта закупки (Международное непатентованное или группировочное или химическое наименование лекарственного препарата или фармакотерапевтичес кая группа)</w:t>
            </w:r>
          </w:p>
        </w:tc>
        <w:tc>
          <w:tcPr>
            <w:shd w:val="clear" w:color="auto" w:fill="FFFFFF"/>
            <w:gridSpan w:val="2"/>
            <w:tcBorders>
              <w:left w:val="single" w:sz="4"/>
              <w:top w:val="single" w:sz="4"/>
            </w:tcBorders>
            <w:vAlign w:val="center"/>
          </w:tcPr>
          <w:p>
            <w:pPr>
              <w:pStyle w:val="Style17"/>
              <w:framePr w:w="9600"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4"/>
              </w:rPr>
              <w:t>Характеристика лекарственного препарата</w:t>
            </w:r>
          </w:p>
        </w:tc>
        <w:tc>
          <w:tcPr>
            <w:shd w:val="clear" w:color="auto" w:fill="FFFFFF"/>
            <w:tcBorders>
              <w:left w:val="single" w:sz="4"/>
              <w:top w:val="single" w:sz="4"/>
            </w:tcBorders>
            <w:vAlign w:val="center"/>
          </w:tcPr>
          <w:p>
            <w:pPr>
              <w:pStyle w:val="Style17"/>
              <w:framePr w:w="9600" w:wrap="notBeside" w:vAnchor="text" w:hAnchor="text" w:xAlign="center" w:y="1"/>
              <w:widowControl w:val="0"/>
              <w:keepNext w:val="0"/>
              <w:keepLines w:val="0"/>
              <w:shd w:val="clear" w:color="auto" w:fill="auto"/>
              <w:bidi w:val="0"/>
              <w:jc w:val="center"/>
              <w:spacing w:before="0" w:after="120" w:line="220" w:lineRule="exact"/>
              <w:ind w:left="0" w:right="0" w:firstLine="0"/>
            </w:pPr>
            <w:r>
              <w:rPr>
                <w:rStyle w:val="CharStyle24"/>
              </w:rPr>
              <w:t>Ед.</w:t>
            </w:r>
          </w:p>
          <w:p>
            <w:pPr>
              <w:pStyle w:val="Style17"/>
              <w:framePr w:w="9600" w:wrap="notBeside" w:vAnchor="text" w:hAnchor="text" w:xAlign="center" w:y="1"/>
              <w:widowControl w:val="0"/>
              <w:keepNext w:val="0"/>
              <w:keepLines w:val="0"/>
              <w:shd w:val="clear" w:color="auto" w:fill="auto"/>
              <w:bidi w:val="0"/>
              <w:jc w:val="center"/>
              <w:spacing w:before="120" w:after="0" w:line="220" w:lineRule="exact"/>
              <w:ind w:left="0" w:right="0" w:firstLine="0"/>
            </w:pPr>
            <w:r>
              <w:rPr>
                <w:rStyle w:val="CharStyle24"/>
              </w:rPr>
              <w:t>изм.</w:t>
            </w:r>
          </w:p>
        </w:tc>
        <w:tc>
          <w:tcPr>
            <w:shd w:val="clear" w:color="auto" w:fill="FFFFFF"/>
            <w:tcBorders>
              <w:left w:val="single" w:sz="4"/>
              <w:right w:val="single" w:sz="4"/>
              <w:top w:val="single" w:sz="4"/>
            </w:tcBorders>
            <w:vAlign w:val="center"/>
          </w:tcPr>
          <w:p>
            <w:pPr>
              <w:pStyle w:val="Style17"/>
              <w:framePr w:w="9600" w:wrap="notBeside" w:vAnchor="text" w:hAnchor="text" w:xAlign="center" w:y="1"/>
              <w:widowControl w:val="0"/>
              <w:keepNext w:val="0"/>
              <w:keepLines w:val="0"/>
              <w:shd w:val="clear" w:color="auto" w:fill="auto"/>
              <w:bidi w:val="0"/>
              <w:jc w:val="center"/>
              <w:spacing w:before="0" w:after="120" w:line="220" w:lineRule="exact"/>
              <w:ind w:left="0" w:right="0" w:firstLine="0"/>
            </w:pPr>
            <w:r>
              <w:rPr>
                <w:rStyle w:val="CharStyle24"/>
              </w:rPr>
              <w:t>Кол-</w:t>
            </w:r>
          </w:p>
          <w:p>
            <w:pPr>
              <w:pStyle w:val="Style17"/>
              <w:framePr w:w="9600" w:wrap="notBeside" w:vAnchor="text" w:hAnchor="text" w:xAlign="center" w:y="1"/>
              <w:widowControl w:val="0"/>
              <w:keepNext w:val="0"/>
              <w:keepLines w:val="0"/>
              <w:shd w:val="clear" w:color="auto" w:fill="auto"/>
              <w:bidi w:val="0"/>
              <w:jc w:val="center"/>
              <w:spacing w:before="120" w:after="0" w:line="220" w:lineRule="exact"/>
              <w:ind w:left="0" w:right="0" w:firstLine="0"/>
            </w:pPr>
            <w:r>
              <w:rPr>
                <w:rStyle w:val="CharStyle24"/>
              </w:rPr>
              <w:t>во</w:t>
            </w:r>
          </w:p>
        </w:tc>
      </w:tr>
      <w:tr>
        <w:trPr>
          <w:trHeight w:val="374" w:hRule="exact"/>
        </w:trPr>
        <w:tc>
          <w:tcPr>
            <w:shd w:val="clear" w:color="auto" w:fill="FFFFFF"/>
            <w:vMerge w:val="restart"/>
            <w:tcBorders>
              <w:left w:val="single" w:sz="4"/>
              <w:top w:val="single" w:sz="4"/>
            </w:tcBorders>
            <w:vAlign w:val="center"/>
          </w:tcPr>
          <w:p>
            <w:pPr>
              <w:pStyle w:val="Style17"/>
              <w:framePr w:w="9600"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24"/>
              </w:rPr>
              <w:t>1</w:t>
            </w:r>
          </w:p>
        </w:tc>
        <w:tc>
          <w:tcPr>
            <w:shd w:val="clear" w:color="auto" w:fill="FFFFFF"/>
            <w:vMerge w:val="restart"/>
            <w:tcBorders>
              <w:left w:val="single" w:sz="4"/>
              <w:top w:val="single" w:sz="4"/>
            </w:tcBorders>
            <w:vAlign w:val="center"/>
          </w:tcPr>
          <w:p>
            <w:pPr>
              <w:pStyle w:val="Style17"/>
              <w:framePr w:w="960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9"/>
              </w:rPr>
              <w:t>Эпоэтин альфа</w:t>
            </w:r>
          </w:p>
        </w:tc>
        <w:tc>
          <w:tcPr>
            <w:shd w:val="clear" w:color="auto" w:fill="FFFFFF"/>
            <w:tcBorders>
              <w:left w:val="single" w:sz="4"/>
              <w:top w:val="single" w:sz="4"/>
            </w:tcBorders>
            <w:vAlign w:val="top"/>
          </w:tcPr>
          <w:p>
            <w:pPr>
              <w:framePr w:w="960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00" w:wrap="notBeside" w:vAnchor="text" w:hAnchor="text" w:xAlign="center" w:y="1"/>
              <w:widowControl w:val="0"/>
              <w:rPr>
                <w:sz w:val="10"/>
                <w:szCs w:val="10"/>
              </w:rPr>
            </w:pPr>
          </w:p>
        </w:tc>
        <w:tc>
          <w:tcPr>
            <w:shd w:val="clear" w:color="auto" w:fill="FFFFFF"/>
            <w:vMerge w:val="restart"/>
            <w:tcBorders>
              <w:left w:val="single" w:sz="4"/>
              <w:top w:val="single" w:sz="4"/>
            </w:tcBorders>
            <w:vAlign w:val="center"/>
          </w:tcPr>
          <w:p>
            <w:pPr>
              <w:pStyle w:val="Style17"/>
              <w:framePr w:w="9600" w:wrap="notBeside" w:vAnchor="text" w:hAnchor="text" w:xAlign="center" w:y="1"/>
              <w:widowControl w:val="0"/>
              <w:keepNext w:val="0"/>
              <w:keepLines w:val="0"/>
              <w:shd w:val="clear" w:color="auto" w:fill="auto"/>
              <w:bidi w:val="0"/>
              <w:jc w:val="center"/>
              <w:spacing w:before="0" w:after="0"/>
              <w:ind w:left="0" w:right="0" w:firstLine="0"/>
            </w:pPr>
            <w:r>
              <w:rPr>
                <w:rStyle w:val="CharStyle29"/>
              </w:rPr>
              <w:t>см[3*];</w:t>
            </w:r>
          </w:p>
          <w:p>
            <w:pPr>
              <w:pStyle w:val="Style17"/>
              <w:framePr w:w="9600" w:wrap="notBeside" w:vAnchor="text" w:hAnchor="text" w:xAlign="center" w:y="1"/>
              <w:widowControl w:val="0"/>
              <w:keepNext w:val="0"/>
              <w:keepLines w:val="0"/>
              <w:shd w:val="clear" w:color="auto" w:fill="auto"/>
              <w:bidi w:val="0"/>
              <w:jc w:val="center"/>
              <w:spacing w:before="0" w:after="0"/>
              <w:ind w:left="0" w:right="0" w:firstLine="0"/>
            </w:pPr>
            <w:r>
              <w:rPr>
                <w:rStyle w:val="CharStyle29"/>
                <w:vertAlign w:val="superscript"/>
              </w:rPr>
              <w:t>А</w:t>
            </w:r>
            <w:r>
              <w:rPr>
                <w:rStyle w:val="CharStyle29"/>
              </w:rPr>
              <w:t>мл</w:t>
            </w:r>
          </w:p>
          <w:p>
            <w:pPr>
              <w:pStyle w:val="Style17"/>
              <w:framePr w:w="9600" w:wrap="notBeside" w:vAnchor="text" w:hAnchor="text" w:xAlign="center" w:y="1"/>
              <w:widowControl w:val="0"/>
              <w:keepNext w:val="0"/>
              <w:keepLines w:val="0"/>
              <w:shd w:val="clear" w:color="auto" w:fill="auto"/>
              <w:bidi w:val="0"/>
              <w:jc w:val="center"/>
              <w:spacing w:before="0" w:after="0"/>
              <w:ind w:left="0" w:right="0" w:firstLine="0"/>
            </w:pPr>
            <w:r>
              <w:rPr>
                <w:rStyle w:val="CharStyle29"/>
              </w:rPr>
              <w:t>(мл)</w:t>
            </w:r>
          </w:p>
        </w:tc>
        <w:tc>
          <w:tcPr>
            <w:shd w:val="clear" w:color="auto" w:fill="FFFFFF"/>
            <w:vMerge w:val="restart"/>
            <w:tcBorders>
              <w:left w:val="single" w:sz="4"/>
              <w:right w:val="single" w:sz="4"/>
              <w:top w:val="single" w:sz="4"/>
            </w:tcBorders>
            <w:vAlign w:val="center"/>
          </w:tcPr>
          <w:p>
            <w:pPr>
              <w:pStyle w:val="Style17"/>
              <w:framePr w:w="960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9"/>
              </w:rPr>
              <w:t>75</w:t>
            </w:r>
          </w:p>
        </w:tc>
      </w:tr>
      <w:tr>
        <w:trPr>
          <w:trHeight w:val="557" w:hRule="exact"/>
        </w:trPr>
        <w:tc>
          <w:tcPr>
            <w:shd w:val="clear" w:color="auto" w:fill="FFFFFF"/>
            <w:vMerge/>
            <w:tcBorders>
              <w:left w:val="single" w:sz="4"/>
            </w:tcBorders>
            <w:vAlign w:val="center"/>
          </w:tcPr>
          <w:p>
            <w:pPr>
              <w:framePr w:w="9600" w:wrap="notBeside" w:vAnchor="text" w:hAnchor="text" w:xAlign="center" w:y="1"/>
            </w:pPr>
          </w:p>
        </w:tc>
        <w:tc>
          <w:tcPr>
            <w:shd w:val="clear" w:color="auto" w:fill="FFFFFF"/>
            <w:vMerge/>
            <w:tcBorders>
              <w:left w:val="single" w:sz="4"/>
            </w:tcBorders>
            <w:vAlign w:val="center"/>
          </w:tcPr>
          <w:p>
            <w:pPr>
              <w:framePr w:w="9600" w:wrap="notBeside" w:vAnchor="text" w:hAnchor="text" w:xAlign="center" w:y="1"/>
            </w:pPr>
          </w:p>
        </w:tc>
        <w:tc>
          <w:tcPr>
            <w:shd w:val="clear" w:color="auto" w:fill="FFFFFF"/>
            <w:tcBorders>
              <w:left w:val="single" w:sz="4"/>
              <w:top w:val="single" w:sz="4"/>
            </w:tcBorders>
            <w:vAlign w:val="top"/>
          </w:tcPr>
          <w:p>
            <w:pPr>
              <w:pStyle w:val="Style17"/>
              <w:framePr w:w="9600"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9"/>
              </w:rPr>
              <w:t>Дозировка</w:t>
            </w:r>
          </w:p>
        </w:tc>
        <w:tc>
          <w:tcPr>
            <w:shd w:val="clear" w:color="auto" w:fill="FFFFFF"/>
            <w:tcBorders>
              <w:left w:val="single" w:sz="4"/>
              <w:top w:val="single" w:sz="4"/>
            </w:tcBorders>
            <w:vAlign w:val="bottom"/>
          </w:tcPr>
          <w:p>
            <w:pPr>
              <w:pStyle w:val="Style17"/>
              <w:framePr w:w="9600" w:wrap="notBeside" w:vAnchor="text" w:hAnchor="text" w:xAlign="center" w:y="1"/>
              <w:widowControl w:val="0"/>
              <w:keepNext w:val="0"/>
              <w:keepLines w:val="0"/>
              <w:shd w:val="clear" w:color="auto" w:fill="auto"/>
              <w:bidi w:val="0"/>
              <w:jc w:val="center"/>
              <w:spacing w:before="0" w:after="0"/>
              <w:ind w:left="0" w:right="0" w:firstLine="0"/>
            </w:pPr>
            <w:r>
              <w:rPr>
                <w:rStyle w:val="CharStyle24"/>
              </w:rPr>
              <w:t>10000 ЕД/мл-0,25 мл*</w:t>
            </w:r>
          </w:p>
        </w:tc>
        <w:tc>
          <w:tcPr>
            <w:shd w:val="clear" w:color="auto" w:fill="FFFFFF"/>
            <w:vMerge/>
            <w:tcBorders>
              <w:left w:val="single" w:sz="4"/>
            </w:tcBorders>
            <w:vAlign w:val="center"/>
          </w:tcPr>
          <w:p>
            <w:pPr>
              <w:framePr w:w="9600" w:wrap="notBeside" w:vAnchor="text" w:hAnchor="text" w:xAlign="center" w:y="1"/>
            </w:pPr>
          </w:p>
        </w:tc>
        <w:tc>
          <w:tcPr>
            <w:shd w:val="clear" w:color="auto" w:fill="FFFFFF"/>
            <w:vMerge/>
            <w:tcBorders>
              <w:left w:val="single" w:sz="4"/>
              <w:right w:val="single" w:sz="4"/>
            </w:tcBorders>
            <w:vAlign w:val="center"/>
          </w:tcPr>
          <w:p>
            <w:pPr>
              <w:framePr w:w="9600" w:wrap="notBeside" w:vAnchor="text" w:hAnchor="text" w:xAlign="center" w:y="1"/>
            </w:pPr>
          </w:p>
        </w:tc>
      </w:tr>
      <w:tr>
        <w:trPr>
          <w:trHeight w:val="1027" w:hRule="exact"/>
        </w:trPr>
        <w:tc>
          <w:tcPr>
            <w:shd w:val="clear" w:color="auto" w:fill="FFFFFF"/>
            <w:vMerge/>
            <w:tcBorders>
              <w:left w:val="single" w:sz="4"/>
            </w:tcBorders>
            <w:vAlign w:val="center"/>
          </w:tcPr>
          <w:p>
            <w:pPr>
              <w:framePr w:w="9600" w:wrap="notBeside" w:vAnchor="text" w:hAnchor="text" w:xAlign="center" w:y="1"/>
            </w:pPr>
          </w:p>
        </w:tc>
        <w:tc>
          <w:tcPr>
            <w:shd w:val="clear" w:color="auto" w:fill="FFFFFF"/>
            <w:vMerge/>
            <w:tcBorders>
              <w:left w:val="single" w:sz="4"/>
            </w:tcBorders>
            <w:vAlign w:val="center"/>
          </w:tcPr>
          <w:p>
            <w:pPr>
              <w:framePr w:w="9600" w:wrap="notBeside" w:vAnchor="text" w:hAnchor="text" w:xAlign="center" w:y="1"/>
            </w:pPr>
          </w:p>
        </w:tc>
        <w:tc>
          <w:tcPr>
            <w:shd w:val="clear" w:color="auto" w:fill="FFFFFF"/>
            <w:tcBorders>
              <w:left w:val="single" w:sz="4"/>
              <w:top w:val="single" w:sz="4"/>
            </w:tcBorders>
            <w:vAlign w:val="top"/>
          </w:tcPr>
          <w:p>
            <w:pPr>
              <w:framePr w:w="960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00" w:wrap="notBeside" w:vAnchor="text" w:hAnchor="text" w:xAlign="center" w:y="1"/>
              <w:widowControl w:val="0"/>
              <w:rPr>
                <w:sz w:val="10"/>
                <w:szCs w:val="10"/>
              </w:rPr>
            </w:pPr>
          </w:p>
        </w:tc>
        <w:tc>
          <w:tcPr>
            <w:shd w:val="clear" w:color="auto" w:fill="FFFFFF"/>
            <w:vMerge/>
            <w:tcBorders>
              <w:left w:val="single" w:sz="4"/>
            </w:tcBorders>
            <w:vAlign w:val="center"/>
          </w:tcPr>
          <w:p>
            <w:pPr>
              <w:framePr w:w="9600" w:wrap="notBeside" w:vAnchor="text" w:hAnchor="text" w:xAlign="center" w:y="1"/>
            </w:pPr>
          </w:p>
        </w:tc>
        <w:tc>
          <w:tcPr>
            <w:shd w:val="clear" w:color="auto" w:fill="FFFFFF"/>
            <w:vMerge/>
            <w:tcBorders>
              <w:left w:val="single" w:sz="4"/>
              <w:right w:val="single" w:sz="4"/>
            </w:tcBorders>
            <w:vAlign w:val="center"/>
          </w:tcPr>
          <w:p>
            <w:pPr>
              <w:framePr w:w="9600" w:wrap="notBeside" w:vAnchor="text" w:hAnchor="text" w:xAlign="center" w:y="1"/>
            </w:pPr>
          </w:p>
        </w:tc>
      </w:tr>
      <w:tr>
        <w:trPr>
          <w:trHeight w:val="283" w:hRule="exact"/>
        </w:trPr>
        <w:tc>
          <w:tcPr>
            <w:shd w:val="clear" w:color="auto" w:fill="FFFFFF"/>
            <w:vMerge/>
            <w:tcBorders>
              <w:left w:val="single" w:sz="4"/>
            </w:tcBorders>
            <w:vAlign w:val="center"/>
          </w:tcPr>
          <w:p>
            <w:pPr>
              <w:framePr w:w="9600" w:wrap="notBeside" w:vAnchor="text" w:hAnchor="text" w:xAlign="center" w:y="1"/>
            </w:pPr>
          </w:p>
        </w:tc>
        <w:tc>
          <w:tcPr>
            <w:shd w:val="clear" w:color="auto" w:fill="FFFFFF"/>
            <w:tcBorders>
              <w:left w:val="single" w:sz="4"/>
              <w:top w:val="single" w:sz="4"/>
            </w:tcBorders>
            <w:vAlign w:val="top"/>
          </w:tcPr>
          <w:p>
            <w:pPr>
              <w:framePr w:w="9600" w:wrap="notBeside" w:vAnchor="text" w:hAnchor="text" w:xAlign="center" w:y="1"/>
              <w:widowControl w:val="0"/>
              <w:rPr>
                <w:sz w:val="10"/>
                <w:szCs w:val="10"/>
              </w:rPr>
            </w:pPr>
          </w:p>
        </w:tc>
        <w:tc>
          <w:tcPr>
            <w:shd w:val="clear" w:color="auto" w:fill="FFFFFF"/>
            <w:gridSpan w:val="2"/>
            <w:tcBorders>
              <w:left w:val="single" w:sz="4"/>
              <w:top w:val="single" w:sz="4"/>
            </w:tcBorders>
            <w:vAlign w:val="bottom"/>
          </w:tcPr>
          <w:p>
            <w:pPr>
              <w:pStyle w:val="Style17"/>
              <w:framePr w:w="960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9"/>
              </w:rPr>
              <w:t>Или</w:t>
            </w:r>
          </w:p>
        </w:tc>
        <w:tc>
          <w:tcPr>
            <w:shd w:val="clear" w:color="auto" w:fill="FFFFFF"/>
            <w:tcBorders>
              <w:left w:val="single" w:sz="4"/>
              <w:top w:val="single" w:sz="4"/>
            </w:tcBorders>
            <w:vAlign w:val="top"/>
          </w:tcPr>
          <w:p>
            <w:pPr>
              <w:framePr w:w="960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600" w:wrap="notBeside" w:vAnchor="text" w:hAnchor="text" w:xAlign="center" w:y="1"/>
              <w:widowControl w:val="0"/>
              <w:rPr>
                <w:sz w:val="10"/>
                <w:szCs w:val="10"/>
              </w:rPr>
            </w:pPr>
          </w:p>
        </w:tc>
      </w:tr>
      <w:tr>
        <w:trPr>
          <w:trHeight w:val="283" w:hRule="exact"/>
        </w:trPr>
        <w:tc>
          <w:tcPr>
            <w:shd w:val="clear" w:color="auto" w:fill="FFFFFF"/>
            <w:vMerge/>
            <w:tcBorders>
              <w:left w:val="single" w:sz="4"/>
            </w:tcBorders>
            <w:vAlign w:val="center"/>
          </w:tcPr>
          <w:p>
            <w:pPr>
              <w:framePr w:w="9600" w:wrap="notBeside" w:vAnchor="text" w:hAnchor="text" w:xAlign="center" w:y="1"/>
            </w:pPr>
          </w:p>
        </w:tc>
        <w:tc>
          <w:tcPr>
            <w:shd w:val="clear" w:color="auto" w:fill="FFFFFF"/>
            <w:vMerge w:val="restart"/>
            <w:tcBorders>
              <w:left w:val="single" w:sz="4"/>
              <w:top w:val="single" w:sz="4"/>
            </w:tcBorders>
            <w:vAlign w:val="center"/>
          </w:tcPr>
          <w:p>
            <w:pPr>
              <w:pStyle w:val="Style17"/>
              <w:framePr w:w="960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9"/>
              </w:rPr>
              <w:t>Эпоэтин альфа</w:t>
            </w:r>
          </w:p>
        </w:tc>
        <w:tc>
          <w:tcPr>
            <w:shd w:val="clear" w:color="auto" w:fill="FFFFFF"/>
            <w:tcBorders>
              <w:left w:val="single" w:sz="4"/>
              <w:top w:val="single" w:sz="4"/>
            </w:tcBorders>
            <w:vAlign w:val="top"/>
          </w:tcPr>
          <w:p>
            <w:pPr>
              <w:framePr w:w="960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600" w:wrap="notBeside" w:vAnchor="text" w:hAnchor="text" w:xAlign="center" w:y="1"/>
              <w:widowControl w:val="0"/>
              <w:rPr>
                <w:sz w:val="10"/>
                <w:szCs w:val="10"/>
              </w:rPr>
            </w:pPr>
          </w:p>
        </w:tc>
        <w:tc>
          <w:tcPr>
            <w:shd w:val="clear" w:color="auto" w:fill="FFFFFF"/>
            <w:vMerge w:val="restart"/>
            <w:tcBorders>
              <w:left w:val="single" w:sz="4"/>
              <w:top w:val="single" w:sz="4"/>
            </w:tcBorders>
            <w:vAlign w:val="center"/>
          </w:tcPr>
          <w:p>
            <w:pPr>
              <w:pStyle w:val="Style17"/>
              <w:framePr w:w="9600" w:wrap="notBeside" w:vAnchor="text" w:hAnchor="text" w:xAlign="center" w:y="1"/>
              <w:widowControl w:val="0"/>
              <w:keepNext w:val="0"/>
              <w:keepLines w:val="0"/>
              <w:shd w:val="clear" w:color="auto" w:fill="auto"/>
              <w:bidi w:val="0"/>
              <w:jc w:val="center"/>
              <w:spacing w:before="0" w:after="0"/>
              <w:ind w:left="0" w:right="0" w:firstLine="0"/>
            </w:pPr>
            <w:r>
              <w:rPr>
                <w:rStyle w:val="CharStyle29"/>
              </w:rPr>
              <w:t>см[3*];</w:t>
            </w:r>
          </w:p>
          <w:p>
            <w:pPr>
              <w:pStyle w:val="Style17"/>
              <w:framePr w:w="9600" w:wrap="notBeside" w:vAnchor="text" w:hAnchor="text" w:xAlign="center" w:y="1"/>
              <w:widowControl w:val="0"/>
              <w:keepNext w:val="0"/>
              <w:keepLines w:val="0"/>
              <w:shd w:val="clear" w:color="auto" w:fill="auto"/>
              <w:bidi w:val="0"/>
              <w:jc w:val="center"/>
              <w:spacing w:before="0" w:after="0"/>
              <w:ind w:left="0" w:right="0" w:firstLine="0"/>
            </w:pPr>
            <w:r>
              <w:rPr>
                <w:rStyle w:val="CharStyle29"/>
                <w:vertAlign w:val="superscript"/>
              </w:rPr>
              <w:t>А</w:t>
            </w:r>
            <w:r>
              <w:rPr>
                <w:rStyle w:val="CharStyle29"/>
              </w:rPr>
              <w:t>мл</w:t>
            </w:r>
          </w:p>
          <w:p>
            <w:pPr>
              <w:pStyle w:val="Style17"/>
              <w:framePr w:w="9600" w:wrap="notBeside" w:vAnchor="text" w:hAnchor="text" w:xAlign="center" w:y="1"/>
              <w:widowControl w:val="0"/>
              <w:keepNext w:val="0"/>
              <w:keepLines w:val="0"/>
              <w:shd w:val="clear" w:color="auto" w:fill="auto"/>
              <w:bidi w:val="0"/>
              <w:jc w:val="center"/>
              <w:spacing w:before="0" w:after="0"/>
              <w:ind w:left="0" w:right="0" w:firstLine="0"/>
            </w:pPr>
            <w:r>
              <w:rPr>
                <w:rStyle w:val="CharStyle29"/>
              </w:rPr>
              <w:t>(мл)</w:t>
            </w:r>
          </w:p>
        </w:tc>
        <w:tc>
          <w:tcPr>
            <w:shd w:val="clear" w:color="auto" w:fill="FFFFFF"/>
            <w:vMerge w:val="restart"/>
            <w:tcBorders>
              <w:left w:val="single" w:sz="4"/>
              <w:right w:val="single" w:sz="4"/>
              <w:top w:val="single" w:sz="4"/>
            </w:tcBorders>
            <w:vAlign w:val="center"/>
          </w:tcPr>
          <w:p>
            <w:pPr>
              <w:pStyle w:val="Style17"/>
              <w:framePr w:w="960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9"/>
              </w:rPr>
              <w:t>75</w:t>
            </w:r>
          </w:p>
        </w:tc>
      </w:tr>
      <w:tr>
        <w:trPr>
          <w:trHeight w:val="562" w:hRule="exact"/>
        </w:trPr>
        <w:tc>
          <w:tcPr>
            <w:shd w:val="clear" w:color="auto" w:fill="FFFFFF"/>
            <w:vMerge/>
            <w:tcBorders>
              <w:left w:val="single" w:sz="4"/>
            </w:tcBorders>
            <w:vAlign w:val="center"/>
          </w:tcPr>
          <w:p>
            <w:pPr>
              <w:framePr w:w="9600" w:wrap="notBeside" w:vAnchor="text" w:hAnchor="text" w:xAlign="center" w:y="1"/>
            </w:pPr>
          </w:p>
        </w:tc>
        <w:tc>
          <w:tcPr>
            <w:shd w:val="clear" w:color="auto" w:fill="FFFFFF"/>
            <w:vMerge/>
            <w:tcBorders>
              <w:left w:val="single" w:sz="4"/>
            </w:tcBorders>
            <w:vAlign w:val="center"/>
          </w:tcPr>
          <w:p>
            <w:pPr>
              <w:framePr w:w="9600" w:wrap="notBeside" w:vAnchor="text" w:hAnchor="text" w:xAlign="center" w:y="1"/>
            </w:pPr>
          </w:p>
        </w:tc>
        <w:tc>
          <w:tcPr>
            <w:shd w:val="clear" w:color="auto" w:fill="FFFFFF"/>
            <w:tcBorders>
              <w:left w:val="single" w:sz="4"/>
              <w:top w:val="single" w:sz="4"/>
            </w:tcBorders>
            <w:vAlign w:val="top"/>
          </w:tcPr>
          <w:p>
            <w:pPr>
              <w:pStyle w:val="Style17"/>
              <w:framePr w:w="9600"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9"/>
              </w:rPr>
              <w:t>Дозировка</w:t>
            </w:r>
          </w:p>
        </w:tc>
        <w:tc>
          <w:tcPr>
            <w:shd w:val="clear" w:color="auto" w:fill="FFFFFF"/>
            <w:tcBorders>
              <w:left w:val="single" w:sz="4"/>
              <w:top w:val="single" w:sz="4"/>
            </w:tcBorders>
            <w:vAlign w:val="bottom"/>
          </w:tcPr>
          <w:p>
            <w:pPr>
              <w:pStyle w:val="Style17"/>
              <w:framePr w:w="9600" w:wrap="notBeside" w:vAnchor="text" w:hAnchor="text" w:xAlign="center" w:y="1"/>
              <w:widowControl w:val="0"/>
              <w:keepNext w:val="0"/>
              <w:keepLines w:val="0"/>
              <w:shd w:val="clear" w:color="auto" w:fill="auto"/>
              <w:bidi w:val="0"/>
              <w:jc w:val="center"/>
              <w:spacing w:before="0" w:after="60" w:line="220" w:lineRule="exact"/>
              <w:ind w:left="0" w:right="0" w:firstLine="0"/>
            </w:pPr>
            <w:r>
              <w:rPr>
                <w:rStyle w:val="CharStyle24"/>
              </w:rPr>
              <w:t>2500 ЕД -0,25</w:t>
            </w:r>
          </w:p>
          <w:p>
            <w:pPr>
              <w:pStyle w:val="Style17"/>
              <w:framePr w:w="9600" w:wrap="notBeside" w:vAnchor="text" w:hAnchor="text" w:xAlign="center" w:y="1"/>
              <w:widowControl w:val="0"/>
              <w:keepNext w:val="0"/>
              <w:keepLines w:val="0"/>
              <w:shd w:val="clear" w:color="auto" w:fill="auto"/>
              <w:bidi w:val="0"/>
              <w:jc w:val="center"/>
              <w:spacing w:before="60" w:after="0" w:line="220" w:lineRule="exact"/>
              <w:ind w:left="0" w:right="0" w:firstLine="0"/>
            </w:pPr>
            <w:r>
              <w:rPr>
                <w:rStyle w:val="CharStyle24"/>
              </w:rPr>
              <w:t>мл*</w:t>
            </w:r>
          </w:p>
        </w:tc>
        <w:tc>
          <w:tcPr>
            <w:shd w:val="clear" w:color="auto" w:fill="FFFFFF"/>
            <w:vMerge/>
            <w:tcBorders>
              <w:left w:val="single" w:sz="4"/>
            </w:tcBorders>
            <w:vAlign w:val="center"/>
          </w:tcPr>
          <w:p>
            <w:pPr>
              <w:framePr w:w="9600" w:wrap="notBeside" w:vAnchor="text" w:hAnchor="text" w:xAlign="center" w:y="1"/>
            </w:pPr>
          </w:p>
        </w:tc>
        <w:tc>
          <w:tcPr>
            <w:shd w:val="clear" w:color="auto" w:fill="FFFFFF"/>
            <w:vMerge/>
            <w:tcBorders>
              <w:left w:val="single" w:sz="4"/>
              <w:right w:val="single" w:sz="4"/>
            </w:tcBorders>
            <w:vAlign w:val="center"/>
          </w:tcPr>
          <w:p>
            <w:pPr>
              <w:framePr w:w="9600" w:wrap="notBeside" w:vAnchor="text" w:hAnchor="text" w:xAlign="center" w:y="1"/>
            </w:pPr>
          </w:p>
        </w:tc>
      </w:tr>
      <w:tr>
        <w:trPr>
          <w:trHeight w:val="706" w:hRule="exact"/>
        </w:trPr>
        <w:tc>
          <w:tcPr>
            <w:shd w:val="clear" w:color="auto" w:fill="FFFFFF"/>
            <w:vMerge/>
            <w:tcBorders>
              <w:left w:val="single" w:sz="4"/>
              <w:bottom w:val="single" w:sz="4"/>
            </w:tcBorders>
            <w:vAlign w:val="center"/>
          </w:tcPr>
          <w:p>
            <w:pPr>
              <w:framePr w:w="9600" w:wrap="notBeside" w:vAnchor="text" w:hAnchor="text" w:xAlign="center" w:y="1"/>
            </w:pPr>
          </w:p>
        </w:tc>
        <w:tc>
          <w:tcPr>
            <w:shd w:val="clear" w:color="auto" w:fill="FFFFFF"/>
            <w:vMerge/>
            <w:tcBorders>
              <w:left w:val="single" w:sz="4"/>
              <w:bottom w:val="single" w:sz="4"/>
            </w:tcBorders>
            <w:vAlign w:val="center"/>
          </w:tcPr>
          <w:p>
            <w:pPr>
              <w:framePr w:w="9600" w:wrap="notBeside" w:vAnchor="text" w:hAnchor="text" w:xAlign="center" w:y="1"/>
            </w:pPr>
          </w:p>
        </w:tc>
        <w:tc>
          <w:tcPr>
            <w:shd w:val="clear" w:color="auto" w:fill="FFFFFF"/>
            <w:tcBorders>
              <w:left w:val="single" w:sz="4"/>
              <w:top w:val="single" w:sz="4"/>
              <w:bottom w:val="single" w:sz="4"/>
            </w:tcBorders>
            <w:vAlign w:val="top"/>
          </w:tcPr>
          <w:p>
            <w:pPr>
              <w:framePr w:w="9600"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9600" w:wrap="notBeside" w:vAnchor="text" w:hAnchor="text" w:xAlign="center" w:y="1"/>
              <w:widowControl w:val="0"/>
              <w:rPr>
                <w:sz w:val="10"/>
                <w:szCs w:val="10"/>
              </w:rPr>
            </w:pPr>
          </w:p>
        </w:tc>
        <w:tc>
          <w:tcPr>
            <w:shd w:val="clear" w:color="auto" w:fill="FFFFFF"/>
            <w:vMerge/>
            <w:tcBorders>
              <w:left w:val="single" w:sz="4"/>
              <w:bottom w:val="single" w:sz="4"/>
            </w:tcBorders>
            <w:vAlign w:val="center"/>
          </w:tcPr>
          <w:p>
            <w:pPr>
              <w:framePr w:w="9600" w:wrap="notBeside" w:vAnchor="text" w:hAnchor="text" w:xAlign="center" w:y="1"/>
            </w:pPr>
          </w:p>
        </w:tc>
        <w:tc>
          <w:tcPr>
            <w:shd w:val="clear" w:color="auto" w:fill="FFFFFF"/>
            <w:vMerge/>
            <w:tcBorders>
              <w:left w:val="single" w:sz="4"/>
              <w:right w:val="single" w:sz="4"/>
              <w:bottom w:val="single" w:sz="4"/>
            </w:tcBorders>
            <w:vAlign w:val="center"/>
          </w:tcPr>
          <w:p>
            <w:pPr>
              <w:framePr w:w="9600" w:wrap="notBeside" w:vAnchor="text" w:hAnchor="text" w:xAlign="center" w:y="1"/>
            </w:pPr>
          </w:p>
        </w:tc>
      </w:tr>
    </w:tbl>
    <w:p>
      <w:pPr>
        <w:widowControl w:val="0"/>
        <w:rPr>
          <w:sz w:val="2"/>
          <w:szCs w:val="2"/>
        </w:rPr>
      </w:pPr>
    </w:p>
    <w:p>
      <w:pPr>
        <w:pStyle w:val="Style30"/>
        <w:widowControl w:val="0"/>
        <w:keepNext/>
        <w:keepLines/>
        <w:shd w:val="clear" w:color="auto" w:fill="auto"/>
        <w:bidi w:val="0"/>
        <w:spacing w:before="0" w:after="0" w:line="210" w:lineRule="exact"/>
        <w:ind w:left="40" w:right="0"/>
      </w:pPr>
      <w:bookmarkStart w:id="1" w:name="bookmark1"/>
      <w:r>
        <w:rPr>
          <w:lang w:val="ru-RU" w:eastAsia="ru-RU" w:bidi="ru-RU"/>
          <w:w w:val="100"/>
          <w:color w:val="000000"/>
          <w:position w:val="0"/>
        </w:rPr>
        <w:t>...»</w:t>
      </w:r>
      <w:bookmarkEnd w:id="1"/>
    </w:p>
    <w:p>
      <w:pPr>
        <w:pStyle w:val="Style17"/>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Согласно объяснениям Заказчика от 03.02.2021 №950, дозировки лекарственного препарата установлены в документации об аукционе в соответствии с потребностью Заказчика. Требование к дозировке необходимо для рационального формирования лечебной дозы конкретному больному без потери препарата и для эффективного расходования средств учреждения.</w:t>
      </w:r>
    </w:p>
    <w:p>
      <w:pPr>
        <w:pStyle w:val="Style17"/>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В заседании комиссии представитель Заказчика пояснил, что единицы измерения дозировки «МЕ» и «ЕД» эквивалентны. Следовательно, в заявке на участие в электронном аукционе характеристика «дозировка» может иметь значения: 10000 ЕД/мл-0,25 мл (10000 МЕ/мл-0,25 мл) или 2500 ЕД - 0,25 мл (2500 МЕ - 0,25 мл).</w:t>
      </w:r>
    </w:p>
    <w:p>
      <w:pPr>
        <w:pStyle w:val="Style17"/>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Как подтверждается материалами дела, Заявителем в первой части заявки (заявка № 162) предложены, в том числе следующие характеристики товара:</w:t>
      </w:r>
    </w:p>
    <w:p>
      <w:pPr>
        <w:pStyle w:val="Style32"/>
        <w:tabs>
          <w:tab w:leader="underscore" w:pos="9557" w:val="left"/>
        </w:tabs>
        <w:widowControl w:val="0"/>
        <w:keepNext/>
        <w:keepLines/>
        <w:shd w:val="clear" w:color="auto" w:fill="auto"/>
        <w:bidi w:val="0"/>
        <w:spacing w:before="0" w:after="0"/>
        <w:ind w:left="120" w:right="0" w:firstLine="0"/>
      </w:pPr>
      <w:bookmarkStart w:id="2" w:name="bookmark2"/>
      <w:r>
        <w:rPr>
          <w:lang w:val="ru-RU" w:eastAsia="ru-RU" w:bidi="ru-RU"/>
          <w:w w:val="100"/>
          <w:color w:val="000000"/>
          <w:position w:val="0"/>
        </w:rPr>
        <w:t xml:space="preserve"> </w:t>
      </w:r>
      <w:r>
        <w:rPr>
          <w:rStyle w:val="CharStyle34"/>
        </w:rPr>
        <w:t>«...</w:t>
      </w:r>
      <w:r>
        <w:rPr>
          <w:lang w:val="ru-RU" w:eastAsia="ru-RU" w:bidi="ru-RU"/>
          <w:w w:val="100"/>
          <w:color w:val="000000"/>
          <w:position w:val="0"/>
        </w:rPr>
        <w:tab/>
      </w:r>
      <w:bookmarkEnd w:id="2"/>
    </w:p>
    <w:p>
      <w:pPr>
        <w:pStyle w:val="Style13"/>
        <w:widowControl w:val="0"/>
        <w:keepNext w:val="0"/>
        <w:keepLines w:val="0"/>
        <w:shd w:val="clear" w:color="auto" w:fill="auto"/>
        <w:bidi w:val="0"/>
        <w:spacing w:before="0" w:after="103" w:line="274" w:lineRule="exact"/>
        <w:ind w:left="120" w:right="0" w:firstLine="0"/>
      </w:pPr>
      <w:r>
        <w:rPr>
          <w:lang w:val="ru-RU" w:eastAsia="ru-RU" w:bidi="ru-RU"/>
          <w:w w:val="100"/>
          <w:spacing w:val="0"/>
          <w:color w:val="000000"/>
          <w:position w:val="0"/>
        </w:rPr>
        <w:t>МНН: Эпоэтин альфа</w:t>
      </w:r>
    </w:p>
    <w:p>
      <w:pPr>
        <w:pStyle w:val="Style3"/>
        <w:widowControl w:val="0"/>
        <w:keepNext w:val="0"/>
        <w:keepLines w:val="0"/>
        <w:shd w:val="clear" w:color="auto" w:fill="auto"/>
        <w:bidi w:val="0"/>
        <w:jc w:val="both"/>
        <w:spacing w:before="0" w:after="469" w:line="220" w:lineRule="exact"/>
        <w:ind w:left="120" w:right="0" w:firstLine="0"/>
      </w:pPr>
      <w:r>
        <w:rPr>
          <w:lang w:val="ru-RU" w:eastAsia="ru-RU" w:bidi="ru-RU"/>
          <w:w w:val="100"/>
          <w:spacing w:val="0"/>
          <w:color w:val="000000"/>
          <w:position w:val="0"/>
        </w:rPr>
        <w:t>ТН: Эпокрин®</w:t>
      </w:r>
    </w:p>
    <w:p>
      <w:pPr>
        <w:pStyle w:val="Style3"/>
        <w:widowControl w:val="0"/>
        <w:keepNext w:val="0"/>
        <w:keepLines w:val="0"/>
        <w:shd w:val="clear" w:color="auto" w:fill="auto"/>
        <w:bidi w:val="0"/>
        <w:jc w:val="both"/>
        <w:spacing w:before="0" w:after="114" w:line="220" w:lineRule="exact"/>
        <w:ind w:left="120" w:right="0" w:firstLine="0"/>
      </w:pPr>
      <w:r>
        <w:rPr>
          <w:rStyle w:val="CharStyle35"/>
          <w:b w:val="0"/>
          <w:bCs w:val="0"/>
        </w:rPr>
        <w:t xml:space="preserve">Дозировка: </w:t>
      </w:r>
      <w:r>
        <w:rPr>
          <w:lang w:val="ru-RU" w:eastAsia="ru-RU" w:bidi="ru-RU"/>
          <w:w w:val="100"/>
          <w:spacing w:val="0"/>
          <w:color w:val="000000"/>
          <w:position w:val="0"/>
        </w:rPr>
        <w:t>2 000 МЕ/мл</w:t>
      </w:r>
    </w:p>
    <w:p>
      <w:pPr>
        <w:pStyle w:val="Style3"/>
        <w:widowControl w:val="0"/>
        <w:keepNext w:val="0"/>
        <w:keepLines w:val="0"/>
        <w:shd w:val="clear" w:color="auto" w:fill="auto"/>
        <w:bidi w:val="0"/>
        <w:jc w:val="both"/>
        <w:spacing w:before="0" w:after="0" w:line="220" w:lineRule="exact"/>
        <w:ind w:left="120" w:right="0" w:firstLine="0"/>
      </w:pPr>
      <w:r>
        <w:rPr>
          <w:rStyle w:val="CharStyle35"/>
          <w:b w:val="0"/>
          <w:bCs w:val="0"/>
        </w:rPr>
        <w:t xml:space="preserve">Форма выпуска: </w:t>
      </w:r>
      <w:r>
        <w:rPr>
          <w:lang w:val="ru-RU" w:eastAsia="ru-RU" w:bidi="ru-RU"/>
          <w:w w:val="100"/>
          <w:spacing w:val="0"/>
          <w:color w:val="000000"/>
          <w:position w:val="0"/>
        </w:rPr>
        <w:t xml:space="preserve">2 000 МЕ/мл - 1,25 мл </w:t>
      </w:r>
      <w:r>
        <w:rPr>
          <w:rStyle w:val="CharStyle35"/>
          <w:b w:val="0"/>
          <w:bCs w:val="0"/>
        </w:rPr>
        <w:t xml:space="preserve">ампулы </w:t>
      </w:r>
      <w:r>
        <w:rPr>
          <w:lang w:val="ru-RU" w:eastAsia="ru-RU" w:bidi="ru-RU"/>
          <w:w w:val="100"/>
          <w:spacing w:val="0"/>
          <w:color w:val="000000"/>
          <w:position w:val="0"/>
        </w:rPr>
        <w:t>№10</w:t>
      </w:r>
      <w:r>
        <w:br w:type="page"/>
      </w:r>
    </w:p>
    <w:p>
      <w:pPr>
        <w:pStyle w:val="Style36"/>
        <w:framePr w:w="9557" w:wrap="notBeside" w:vAnchor="text" w:hAnchor="text" w:xAlign="center" w:y="1"/>
        <w:widowControl w:val="0"/>
        <w:keepNext w:val="0"/>
        <w:keepLines w:val="0"/>
        <w:shd w:val="clear" w:color="auto" w:fill="auto"/>
        <w:bidi w:val="0"/>
        <w:jc w:val="left"/>
        <w:spacing w:before="0" w:after="0"/>
        <w:ind w:left="0" w:right="0" w:firstLine="0"/>
      </w:pPr>
      <w:r>
        <w:rPr>
          <w:lang w:val="ru-RU" w:eastAsia="ru-RU" w:bidi="ru-RU"/>
          <w:sz w:val="24"/>
          <w:szCs w:val="24"/>
          <w:w w:val="100"/>
          <w:color w:val="000000"/>
          <w:position w:val="0"/>
        </w:rPr>
        <w:t>...»</w:t>
      </w:r>
    </w:p>
    <w:p>
      <w:pPr>
        <w:pStyle w:val="Style38"/>
        <w:framePr w:w="9557"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В ходе анализа заявки 162 Заявителя Комиссией Архангельского УФАС России установлено, что в по позиции «Дозировка» Заявителем предложен товар отличный от установленного в части 1 раздела II «Сведения о товаре, на поставку которого осуществляется закупка, и об условиях контракта» документации об аукционе, а именно:</w:t>
      </w:r>
    </w:p>
    <w:tbl>
      <w:tblPr>
        <w:tblOverlap w:val="never"/>
        <w:tblLayout w:type="fixed"/>
        <w:jc w:val="center"/>
      </w:tblPr>
      <w:tblGrid>
        <w:gridCol w:w="4771"/>
        <w:gridCol w:w="4291"/>
        <w:gridCol w:w="494"/>
      </w:tblGrid>
      <w:tr>
        <w:trPr>
          <w:trHeight w:val="518" w:hRule="exact"/>
        </w:trPr>
        <w:tc>
          <w:tcPr>
            <w:shd w:val="clear" w:color="auto" w:fill="FFFFFF"/>
            <w:tcBorders>
              <w:left w:val="single" w:sz="4"/>
              <w:top w:val="single" w:sz="4"/>
            </w:tcBorders>
            <w:vAlign w:val="bottom"/>
          </w:tcPr>
          <w:p>
            <w:pPr>
              <w:pStyle w:val="Style17"/>
              <w:framePr w:w="9557"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3"/>
              </w:rPr>
              <w:t>Характеристики товара, установленные заказчиком</w:t>
            </w:r>
          </w:p>
        </w:tc>
        <w:tc>
          <w:tcPr>
            <w:shd w:val="clear" w:color="auto" w:fill="FFFFFF"/>
            <w:tcBorders>
              <w:left w:val="single" w:sz="4"/>
              <w:top w:val="single" w:sz="4"/>
            </w:tcBorders>
            <w:vAlign w:val="bottom"/>
          </w:tcPr>
          <w:p>
            <w:pPr>
              <w:pStyle w:val="Style17"/>
              <w:framePr w:w="9557"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3"/>
              </w:rPr>
              <w:t>Характеристики товара, предлагаемого д/ поставки участником закупки</w:t>
            </w:r>
          </w:p>
        </w:tc>
        <w:tc>
          <w:tcPr>
            <w:shd w:val="clear" w:color="auto" w:fill="FFFFFF"/>
            <w:tcBorders>
              <w:right w:val="single" w:sz="4"/>
              <w:top w:val="single" w:sz="4"/>
            </w:tcBorders>
            <w:vAlign w:val="top"/>
          </w:tcPr>
          <w:p>
            <w:pPr>
              <w:pStyle w:val="Style17"/>
              <w:framePr w:w="9557" w:wrap="notBeside" w:vAnchor="text" w:hAnchor="text" w:xAlign="center" w:y="1"/>
              <w:widowControl w:val="0"/>
              <w:keepNext w:val="0"/>
              <w:keepLines w:val="0"/>
              <w:shd w:val="clear" w:color="auto" w:fill="auto"/>
              <w:bidi w:val="0"/>
              <w:jc w:val="left"/>
              <w:spacing w:before="0" w:after="0" w:line="130" w:lineRule="exact"/>
              <w:ind w:left="0" w:right="0" w:firstLine="0"/>
            </w:pPr>
            <w:r>
              <w:rPr>
                <w:rStyle w:val="CharStyle40"/>
              </w:rPr>
              <w:t>1Я</w:t>
            </w:r>
          </w:p>
        </w:tc>
      </w:tr>
      <w:tr>
        <w:trPr>
          <w:trHeight w:val="1320" w:hRule="exact"/>
        </w:trPr>
        <w:tc>
          <w:tcPr>
            <w:shd w:val="clear" w:color="auto" w:fill="FFFFFF"/>
            <w:tcBorders>
              <w:left w:val="single" w:sz="4"/>
              <w:top w:val="single" w:sz="4"/>
              <w:bottom w:val="single" w:sz="4"/>
            </w:tcBorders>
            <w:vAlign w:val="center"/>
          </w:tcPr>
          <w:p>
            <w:pPr>
              <w:pStyle w:val="Style17"/>
              <w:framePr w:w="9557" w:wrap="notBeside" w:vAnchor="text" w:hAnchor="text" w:xAlign="center" w:y="1"/>
              <w:widowControl w:val="0"/>
              <w:keepNext w:val="0"/>
              <w:keepLines w:val="0"/>
              <w:shd w:val="clear" w:color="auto" w:fill="auto"/>
              <w:bidi w:val="0"/>
              <w:jc w:val="left"/>
              <w:spacing w:before="0" w:after="0" w:line="518" w:lineRule="exact"/>
              <w:ind w:left="120" w:right="0" w:firstLine="0"/>
            </w:pPr>
            <w:r>
              <w:rPr>
                <w:rStyle w:val="CharStyle24"/>
              </w:rPr>
              <w:t xml:space="preserve">10000 ЕД/мл-0,25 </w:t>
            </w:r>
            <w:r>
              <w:rPr>
                <w:rStyle w:val="CharStyle23"/>
              </w:rPr>
              <w:t xml:space="preserve">мл* </w:t>
            </w:r>
            <w:r>
              <w:rPr>
                <w:rStyle w:val="CharStyle24"/>
              </w:rPr>
              <w:t xml:space="preserve">2500 ЕД - 0,25 </w:t>
            </w:r>
            <w:r>
              <w:rPr>
                <w:rStyle w:val="CharStyle23"/>
              </w:rPr>
              <w:t>мл*</w:t>
            </w:r>
          </w:p>
        </w:tc>
        <w:tc>
          <w:tcPr>
            <w:shd w:val="clear" w:color="auto" w:fill="FFFFFF"/>
            <w:tcBorders>
              <w:left w:val="single" w:sz="4"/>
              <w:top w:val="single" w:sz="4"/>
              <w:bottom w:val="single" w:sz="4"/>
            </w:tcBorders>
            <w:vAlign w:val="top"/>
          </w:tcPr>
          <w:p>
            <w:pPr>
              <w:pStyle w:val="Style17"/>
              <w:framePr w:w="955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4"/>
              </w:rPr>
              <w:t>2 000 МЕ/мл - 1,25 мл</w:t>
            </w:r>
          </w:p>
        </w:tc>
        <w:tc>
          <w:tcPr>
            <w:shd w:val="clear" w:color="auto" w:fill="FFFFFF"/>
            <w:tcBorders>
              <w:right w:val="single" w:sz="4"/>
              <w:top w:val="single" w:sz="4"/>
              <w:bottom w:val="single" w:sz="4"/>
            </w:tcBorders>
            <w:vAlign w:val="top"/>
          </w:tcPr>
          <w:p>
            <w:pPr>
              <w:framePr w:w="9557" w:wrap="notBeside" w:vAnchor="text" w:hAnchor="text" w:xAlign="center" w:y="1"/>
              <w:widowControl w:val="0"/>
              <w:rPr>
                <w:sz w:val="10"/>
                <w:szCs w:val="10"/>
              </w:rPr>
            </w:pPr>
          </w:p>
        </w:tc>
      </w:tr>
    </w:tbl>
    <w:p>
      <w:pPr>
        <w:widowControl w:val="0"/>
        <w:rPr>
          <w:sz w:val="2"/>
          <w:szCs w:val="2"/>
        </w:rPr>
      </w:pPr>
    </w:p>
    <w:p>
      <w:pPr>
        <w:pStyle w:val="Style17"/>
        <w:widowControl w:val="0"/>
        <w:keepNext w:val="0"/>
        <w:keepLines w:val="0"/>
        <w:shd w:val="clear" w:color="auto" w:fill="auto"/>
        <w:bidi w:val="0"/>
        <w:spacing w:before="0" w:after="0"/>
        <w:ind w:left="60" w:right="40" w:firstLine="860"/>
      </w:pPr>
      <w:r>
        <w:rPr>
          <w:lang w:val="ru-RU" w:eastAsia="ru-RU" w:bidi="ru-RU"/>
          <w:w w:val="100"/>
          <w:spacing w:val="0"/>
          <w:color w:val="000000"/>
          <w:position w:val="0"/>
        </w:rPr>
        <w:t>Частью 1 статьи 67 ФЗ «О контрактной системе» предусмотрено, что единая комиссия проверяет первые части заявок на участие в электронном аукционе, содержащие информацию, предусмотренную частью 3 статьи 66 указанного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17"/>
        <w:widowControl w:val="0"/>
        <w:keepNext w:val="0"/>
        <w:keepLines w:val="0"/>
        <w:shd w:val="clear" w:color="auto" w:fill="auto"/>
        <w:bidi w:val="0"/>
        <w:spacing w:before="0" w:after="0"/>
        <w:ind w:left="60" w:right="40" w:firstLine="860"/>
      </w:pPr>
      <w:r>
        <w:rPr>
          <w:lang w:val="ru-RU" w:eastAsia="ru-RU" w:bidi="ru-RU"/>
          <w:w w:val="100"/>
          <w:spacing w:val="0"/>
          <w:color w:val="000000"/>
          <w:position w:val="0"/>
        </w:rPr>
        <w:t>На основании части 4 статьи 67 ФЗ «О контрактной системе» участник закупки не допускается к участию в электронном аукционе, в случае:</w:t>
      </w:r>
    </w:p>
    <w:p>
      <w:pPr>
        <w:pStyle w:val="Style17"/>
        <w:numPr>
          <w:ilvl w:val="0"/>
          <w:numId w:val="7"/>
        </w:numPr>
        <w:widowControl w:val="0"/>
        <w:keepNext w:val="0"/>
        <w:keepLines w:val="0"/>
        <w:shd w:val="clear" w:color="auto" w:fill="auto"/>
        <w:bidi w:val="0"/>
        <w:spacing w:before="0" w:after="0"/>
        <w:ind w:left="60" w:right="40" w:firstLine="860"/>
      </w:pPr>
      <w:r>
        <w:rPr>
          <w:lang w:val="ru-RU" w:eastAsia="ru-RU" w:bidi="ru-RU"/>
          <w:w w:val="100"/>
          <w:spacing w:val="0"/>
          <w:color w:val="000000"/>
          <w:position w:val="0"/>
        </w:rPr>
        <w:t xml:space="preserve"> непредоставления информации, предусмотренной частью 3 статьи 66 указанного Федерального закона, или предоставления недостоверной информации;</w:t>
      </w:r>
    </w:p>
    <w:p>
      <w:pPr>
        <w:pStyle w:val="Style17"/>
        <w:numPr>
          <w:ilvl w:val="0"/>
          <w:numId w:val="7"/>
        </w:numPr>
        <w:widowControl w:val="0"/>
        <w:keepNext w:val="0"/>
        <w:keepLines w:val="0"/>
        <w:shd w:val="clear" w:color="auto" w:fill="auto"/>
        <w:bidi w:val="0"/>
        <w:spacing w:before="0" w:after="252"/>
        <w:ind w:left="60" w:right="40" w:firstLine="860"/>
      </w:pPr>
      <w:r>
        <w:rPr>
          <w:lang w:val="ru-RU" w:eastAsia="ru-RU" w:bidi="ru-RU"/>
          <w:w w:val="100"/>
          <w:spacing w:val="0"/>
          <w:color w:val="000000"/>
          <w:position w:val="0"/>
        </w:rPr>
        <w:t xml:space="preserve"> несоответствия информации, предусмотренной частью 3 статьи 66 указанного Федерального закона, требованиям документации о таком аукционе.</w:t>
      </w:r>
    </w:p>
    <w:p>
      <w:pPr>
        <w:pStyle w:val="Style3"/>
        <w:widowControl w:val="0"/>
        <w:keepNext w:val="0"/>
        <w:keepLines w:val="0"/>
        <w:shd w:val="clear" w:color="auto" w:fill="auto"/>
        <w:bidi w:val="0"/>
        <w:jc w:val="both"/>
        <w:spacing w:before="0" w:after="240" w:line="259" w:lineRule="exact"/>
        <w:ind w:left="60" w:right="40" w:firstLine="860"/>
      </w:pPr>
      <w:r>
        <w:rPr>
          <w:lang w:val="ru-RU" w:eastAsia="ru-RU" w:bidi="ru-RU"/>
          <w:w w:val="100"/>
          <w:spacing w:val="0"/>
          <w:color w:val="000000"/>
          <w:position w:val="0"/>
        </w:rPr>
        <w:t>Таким образом, единая комиссия правомерно отказала ООО «ВИТАЛОН» в допуске к участию в электронном аукционе.</w:t>
      </w:r>
    </w:p>
    <w:p>
      <w:pPr>
        <w:pStyle w:val="Style17"/>
        <w:widowControl w:val="0"/>
        <w:keepNext w:val="0"/>
        <w:keepLines w:val="0"/>
        <w:shd w:val="clear" w:color="auto" w:fill="auto"/>
        <w:bidi w:val="0"/>
        <w:spacing w:before="0" w:after="0" w:line="259" w:lineRule="exact"/>
        <w:ind w:left="60" w:right="40" w:firstLine="860"/>
      </w:pPr>
      <w:r>
        <w:rPr>
          <w:lang w:val="ru-RU" w:eastAsia="ru-RU" w:bidi="ru-RU"/>
          <w:w w:val="100"/>
          <w:spacing w:val="0"/>
          <w:color w:val="000000"/>
          <w:position w:val="0"/>
        </w:rPr>
        <w:t>Также Комиссия Архангельского УФАС России отмечает, что в соответствии с частью 4 статьи 105 ФЗ «О контрактной системе» жалоба на положения документации может быть подана участником закупки до окончания срока подачи заявок на участие в такой процедуре.</w:t>
      </w:r>
    </w:p>
    <w:p>
      <w:pPr>
        <w:pStyle w:val="Style17"/>
        <w:widowControl w:val="0"/>
        <w:keepNext w:val="0"/>
        <w:keepLines w:val="0"/>
        <w:shd w:val="clear" w:color="auto" w:fill="auto"/>
        <w:bidi w:val="0"/>
        <w:spacing w:before="0" w:after="0" w:line="269" w:lineRule="exact"/>
        <w:ind w:left="60" w:right="40" w:firstLine="860"/>
      </w:pPr>
      <w:r>
        <w:rPr>
          <w:lang w:val="ru-RU" w:eastAsia="ru-RU" w:bidi="ru-RU"/>
          <w:w w:val="100"/>
          <w:spacing w:val="0"/>
          <w:color w:val="000000"/>
          <w:position w:val="0"/>
        </w:rPr>
        <w:t>Следовательно, Комиссия Архангельского УФАС не рассматривает довод Заявителя о неправомерном установление требований к объекту закупки.</w:t>
      </w:r>
    </w:p>
    <w:p>
      <w:pPr>
        <w:pStyle w:val="Style17"/>
        <w:widowControl w:val="0"/>
        <w:keepNext w:val="0"/>
        <w:keepLines w:val="0"/>
        <w:shd w:val="clear" w:color="auto" w:fill="auto"/>
        <w:bidi w:val="0"/>
        <w:spacing w:before="0" w:after="0" w:line="269" w:lineRule="exact"/>
        <w:ind w:left="60" w:right="40" w:firstLine="860"/>
      </w:pPr>
      <w:r>
        <w:rPr>
          <w:lang w:val="ru-RU" w:eastAsia="ru-RU" w:bidi="ru-RU"/>
          <w:w w:val="100"/>
          <w:spacing w:val="0"/>
          <w:color w:val="000000"/>
          <w:position w:val="0"/>
        </w:rPr>
        <w:t>При проведении внеплановой проверки на основании пункта 1 части 15 статьи 99 ФЗ «О контрактной системе» данной закупки нарушений законодательства РФ о контрактной системе не выявлено.</w:t>
      </w:r>
    </w:p>
    <w:p>
      <w:pPr>
        <w:pStyle w:val="Style17"/>
        <w:widowControl w:val="0"/>
        <w:keepNext w:val="0"/>
        <w:keepLines w:val="0"/>
        <w:shd w:val="clear" w:color="auto" w:fill="auto"/>
        <w:bidi w:val="0"/>
        <w:spacing w:before="0" w:after="279" w:line="269" w:lineRule="exact"/>
        <w:ind w:left="60" w:right="40" w:firstLine="86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3"/>
        <w:widowControl w:val="0"/>
        <w:keepNext w:val="0"/>
        <w:keepLines w:val="0"/>
        <w:shd w:val="clear" w:color="auto" w:fill="auto"/>
        <w:bidi w:val="0"/>
        <w:jc w:val="left"/>
        <w:spacing w:before="0" w:after="258" w:line="220" w:lineRule="exact"/>
        <w:ind w:left="4500" w:right="0" w:firstLine="0"/>
      </w:pPr>
      <w:r>
        <w:rPr>
          <w:lang w:val="ru-RU" w:eastAsia="ru-RU" w:bidi="ru-RU"/>
          <w:w w:val="100"/>
          <w:spacing w:val="0"/>
          <w:color w:val="000000"/>
          <w:position w:val="0"/>
        </w:rPr>
        <w:t>РЕШИЛА:</w:t>
      </w:r>
    </w:p>
    <w:p>
      <w:pPr>
        <w:pStyle w:val="Style17"/>
        <w:widowControl w:val="0"/>
        <w:keepNext w:val="0"/>
        <w:keepLines w:val="0"/>
        <w:shd w:val="clear" w:color="auto" w:fill="auto"/>
        <w:bidi w:val="0"/>
        <w:jc w:val="left"/>
        <w:spacing w:before="0" w:after="486" w:line="220" w:lineRule="exact"/>
        <w:ind w:left="760" w:right="0" w:firstLine="0"/>
      </w:pPr>
      <w:r>
        <w:rPr>
          <w:lang w:val="ru-RU" w:eastAsia="ru-RU" w:bidi="ru-RU"/>
          <w:w w:val="100"/>
          <w:spacing w:val="0"/>
          <w:color w:val="000000"/>
          <w:position w:val="0"/>
        </w:rPr>
        <w:t>1. Признать жалобу ООО «ВИТАЛОН» необоснованной.</w:t>
      </w:r>
    </w:p>
    <w:p>
      <w:pPr>
        <w:pStyle w:val="Style41"/>
        <w:widowControl w:val="0"/>
        <w:keepNext w:val="0"/>
        <w:keepLines w:val="0"/>
        <w:shd w:val="clear" w:color="auto" w:fill="auto"/>
        <w:bidi w:val="0"/>
        <w:spacing w:before="0" w:after="0"/>
        <w:ind w:left="60" w:right="40" w:firstLine="0"/>
        <w:sectPr>
          <w:type w:val="continuous"/>
          <w:pgSz w:w="11906" w:h="16838"/>
          <w:pgMar w:top="923" w:left="1115" w:right="1158" w:bottom="640" w:header="0" w:footer="3" w:gutter="0"/>
          <w:rtlGutter w:val="0"/>
          <w:cols w:space="720"/>
          <w:noEndnote/>
          <w:docGrid w:linePitch="360"/>
        </w:sectPr>
      </w:pPr>
      <w:r>
        <w:rPr>
          <w:rStyle w:val="CharStyle43"/>
          <w:i/>
          <w:iCs/>
        </w:rPr>
        <w:t>Примечание.</w:t>
      </w:r>
      <w:r>
        <w:rPr>
          <w:rStyle w:val="CharStyle44"/>
          <w:i/>
          <w:iCs/>
        </w:rPr>
        <w:t xml:space="preserve"> </w:t>
      </w:r>
      <w:r>
        <w:rPr>
          <w:lang w:val="ru-RU" w:eastAsia="ru-RU" w:bidi="ru-RU"/>
          <w:w w:val="100"/>
          <w:spacing w:val="0"/>
          <w:color w:val="000000"/>
          <w:position w:val="0"/>
        </w:rPr>
        <w:t>Согласно части 9 статьи 106 ФЗ «О контрактной системе» решение, принятое по результатам рассмотрения э/салобы по существу, может быть обэ/саловано в судебном порядке в течение трех месяцев со дня его принятия.</w:t>
      </w:r>
    </w:p>
    <w:p>
      <w:pPr>
        <w:widowControl w:val="0"/>
        <w:spacing w:before="55" w:after="5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w="1883" w:h="1613" w:wrap="around" w:vAnchor="text" w:hAnchor="margin" w:x="7660" w:y="-233"/>
        <w:widowControl w:val="0"/>
        <w:keepNext w:val="0"/>
        <w:keepLines w:val="0"/>
        <w:shd w:val="clear" w:color="auto" w:fill="auto"/>
        <w:bidi w:val="0"/>
        <w:jc w:val="right"/>
        <w:spacing w:before="0" w:after="0" w:line="538" w:lineRule="exact"/>
        <w:ind w:left="120" w:right="0" w:firstLine="0"/>
      </w:pPr>
      <w:r>
        <w:rPr>
          <w:rStyle w:val="CharStyle45"/>
          <w:b/>
          <w:bCs/>
          <w:spacing w:val="0"/>
        </w:rPr>
        <w:t>И.Ю. Короткова О.С. Малышева Е.Н. Кузнецова</w:t>
      </w:r>
    </w:p>
    <w:p>
      <w:pPr>
        <w:pStyle w:val="Style3"/>
        <w:widowControl w:val="0"/>
        <w:keepNext w:val="0"/>
        <w:keepLines w:val="0"/>
        <w:shd w:val="clear" w:color="auto" w:fill="auto"/>
        <w:bidi w:val="0"/>
        <w:jc w:val="left"/>
        <w:spacing w:before="0" w:after="0" w:line="523" w:lineRule="exact"/>
        <w:ind w:left="0" w:right="300" w:firstLine="0"/>
        <w:sectPr>
          <w:type w:val="continuous"/>
          <w:pgSz w:w="11906" w:h="16838"/>
          <w:pgMar w:top="819" w:left="1145" w:right="7841" w:bottom="1232" w:header="0" w:footer="3" w:gutter="0"/>
          <w:rtlGutter w:val="0"/>
          <w:cols w:space="720"/>
          <w:noEndnote/>
          <w:docGrid w:linePitch="360"/>
        </w:sectPr>
      </w:pPr>
      <w:r>
        <w:rPr>
          <w:lang w:val="ru-RU" w:eastAsia="ru-RU" w:bidi="ru-RU"/>
          <w:w w:val="100"/>
          <w:spacing w:val="0"/>
          <w:color w:val="000000"/>
          <w:position w:val="0"/>
        </w:rPr>
        <w:t>Председатель Комиссии 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82" w:lineRule="exact"/>
      </w:pPr>
    </w:p>
    <w:p>
      <w:pPr>
        <w:widowControl w:val="0"/>
        <w:rPr>
          <w:sz w:val="2"/>
          <w:szCs w:val="2"/>
        </w:rPr>
      </w:pPr>
    </w:p>
    <w:sectPr>
      <w:pgSz w:w="11906" w:h="16838"/>
      <w:pgMar w:top="164" w:left="2346" w:right="2346" w:bottom="16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18.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5.0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15"/>
      <w:szCs w:val="15"/>
      <w:rFonts w:ascii="Times New Roman" w:eastAsia="Times New Roman" w:hAnsi="Times New Roman" w:cs="Times New Roman"/>
    </w:rPr>
  </w:style>
  <w:style w:type="character" w:customStyle="1" w:styleId="CharStyle7">
    <w:name w:val="Основной текст (3)"/>
    <w:basedOn w:val="CharStyle6"/>
    <w:rPr>
      <w:lang w:val="en-US" w:eastAsia="en-US" w:bidi="en-US"/>
      <w:u w:val="single"/>
      <w:w w:val="100"/>
      <w:spacing w:val="0"/>
      <w:color w:val="000000"/>
      <w:position w:val="0"/>
    </w:rPr>
  </w:style>
  <w:style w:type="character" w:customStyle="1" w:styleId="CharStyle9">
    <w:name w:val="Основной текст (4)_"/>
    <w:basedOn w:val="DefaultParagraphFont"/>
    <w:link w:val="Style8"/>
    <w:rPr>
      <w:b/>
      <w:bCs/>
      <w:i w:val="0"/>
      <w:iCs w:val="0"/>
      <w:u w:val="none"/>
      <w:strike w:val="0"/>
      <w:smallCaps w:val="0"/>
      <w:sz w:val="21"/>
      <w:szCs w:val="21"/>
      <w:rFonts w:ascii="Times New Roman" w:eastAsia="Times New Roman" w:hAnsi="Times New Roman" w:cs="Times New Roman"/>
    </w:rPr>
  </w:style>
  <w:style w:type="character" w:customStyle="1" w:styleId="CharStyle10">
    <w:name w:val="Основной текст (4) + 10 pt,Не полужирный"/>
    <w:basedOn w:val="CharStyle9"/>
    <w:rPr>
      <w:lang w:val="ru-RU" w:eastAsia="ru-RU" w:bidi="ru-RU"/>
      <w:b/>
      <w:bCs/>
      <w:sz w:val="20"/>
      <w:szCs w:val="20"/>
      <w:w w:val="100"/>
      <w:spacing w:val="0"/>
      <w:color w:val="000000"/>
      <w:position w:val="0"/>
    </w:rPr>
  </w:style>
  <w:style w:type="character" w:customStyle="1" w:styleId="CharStyle11">
    <w:name w:val="Основной текст (4)"/>
    <w:basedOn w:val="CharStyle9"/>
    <w:rPr>
      <w:lang w:val="ru-RU" w:eastAsia="ru-RU" w:bidi="ru-RU"/>
      <w:u w:val="single"/>
      <w:w w:val="100"/>
      <w:spacing w:val="0"/>
      <w:color w:val="000000"/>
      <w:position w:val="0"/>
    </w:rPr>
  </w:style>
  <w:style w:type="character" w:customStyle="1" w:styleId="CharStyle12">
    <w:name w:val="Основной текст (4) + Courier New,13 pt,Курсив,Интервал -2 pt"/>
    <w:basedOn w:val="CharStyle9"/>
    <w:rPr>
      <w:lang w:val="ru-RU" w:eastAsia="ru-RU" w:bidi="ru-RU"/>
      <w:i/>
      <w:iCs/>
      <w:u w:val="single"/>
      <w:sz w:val="26"/>
      <w:szCs w:val="26"/>
      <w:rFonts w:ascii="Courier New" w:eastAsia="Courier New" w:hAnsi="Courier New" w:cs="Courier New"/>
      <w:w w:val="100"/>
      <w:spacing w:val="-40"/>
      <w:color w:val="000000"/>
      <w:position w:val="0"/>
    </w:rPr>
  </w:style>
  <w:style w:type="character" w:customStyle="1" w:styleId="CharStyle14">
    <w:name w:val="Основной текст (5)_"/>
    <w:basedOn w:val="DefaultParagraphFont"/>
    <w:link w:val="Style13"/>
    <w:rPr>
      <w:b w:val="0"/>
      <w:bCs w:val="0"/>
      <w:i w:val="0"/>
      <w:iCs w:val="0"/>
      <w:u w:val="none"/>
      <w:strike w:val="0"/>
      <w:smallCaps w:val="0"/>
      <w:sz w:val="21"/>
      <w:szCs w:val="21"/>
      <w:rFonts w:ascii="Times New Roman" w:eastAsia="Times New Roman" w:hAnsi="Times New Roman" w:cs="Times New Roman"/>
    </w:rPr>
  </w:style>
  <w:style w:type="character" w:customStyle="1" w:styleId="CharStyle15">
    <w:name w:val="Основной текст (2)"/>
    <w:basedOn w:val="CharStyle4"/>
    <w:rPr>
      <w:lang w:val="ru-RU" w:eastAsia="ru-RU" w:bidi="ru-RU"/>
      <w:u w:val="single"/>
      <w:w w:val="100"/>
      <w:spacing w:val="0"/>
      <w:color w:val="000000"/>
      <w:position w:val="0"/>
    </w:rPr>
  </w:style>
  <w:style w:type="character" w:customStyle="1" w:styleId="CharStyle16">
    <w:name w:val="Основной текст (5) + 7,5 pt,Полужирный"/>
    <w:basedOn w:val="CharStyle14"/>
    <w:rPr>
      <w:lang w:val="ru-RU" w:eastAsia="ru-RU" w:bidi="ru-RU"/>
      <w:b/>
      <w:bCs/>
      <w:sz w:val="15"/>
      <w:szCs w:val="15"/>
      <w:w w:val="100"/>
      <w:spacing w:val="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 Полужирный"/>
    <w:basedOn w:val="CharStyle18"/>
    <w:rPr>
      <w:lang w:val="ru-RU" w:eastAsia="ru-RU" w:bidi="ru-RU"/>
      <w:b/>
      <w:bCs/>
      <w:u w:val="single"/>
      <w:w w:val="100"/>
      <w:spacing w:val="0"/>
      <w:color w:val="000000"/>
      <w:position w:val="0"/>
    </w:rPr>
  </w:style>
  <w:style w:type="character" w:customStyle="1" w:styleId="CharStyle20">
    <w:name w:val="Основной текст + Полужирный"/>
    <w:basedOn w:val="CharStyle18"/>
    <w:rPr>
      <w:lang w:val="ru-RU" w:eastAsia="ru-RU" w:bidi="ru-RU"/>
      <w:b/>
      <w:bCs/>
      <w:w w:val="100"/>
      <w:spacing w:val="0"/>
      <w:color w:val="000000"/>
      <w:position w:val="0"/>
    </w:rPr>
  </w:style>
  <w:style w:type="character" w:customStyle="1" w:styleId="CharStyle21">
    <w:name w:val="Основной текст"/>
    <w:basedOn w:val="CharStyle18"/>
    <w:rPr>
      <w:lang w:val="ru-RU" w:eastAsia="ru-RU" w:bidi="ru-RU"/>
      <w:w w:val="100"/>
      <w:spacing w:val="0"/>
      <w:color w:val="000000"/>
      <w:position w:val="0"/>
    </w:rPr>
  </w:style>
  <w:style w:type="character" w:customStyle="1" w:styleId="CharStyle22">
    <w:name w:val="Основной текст"/>
    <w:basedOn w:val="CharStyle18"/>
    <w:rPr>
      <w:lang w:val="ru-RU" w:eastAsia="ru-RU" w:bidi="ru-RU"/>
      <w:u w:val="single"/>
      <w:w w:val="100"/>
      <w:spacing w:val="0"/>
      <w:color w:val="000000"/>
      <w:position w:val="0"/>
    </w:rPr>
  </w:style>
  <w:style w:type="character" w:customStyle="1" w:styleId="CharStyle23">
    <w:name w:val="Основной текст + 10,5 pt"/>
    <w:basedOn w:val="CharStyle18"/>
    <w:rPr>
      <w:lang w:val="ru-RU" w:eastAsia="ru-RU" w:bidi="ru-RU"/>
      <w:sz w:val="21"/>
      <w:szCs w:val="21"/>
      <w:w w:val="100"/>
      <w:spacing w:val="0"/>
      <w:color w:val="000000"/>
      <w:position w:val="0"/>
    </w:rPr>
  </w:style>
  <w:style w:type="character" w:customStyle="1" w:styleId="CharStyle24">
    <w:name w:val="Основной текст + Полужирный"/>
    <w:basedOn w:val="CharStyle18"/>
    <w:rPr>
      <w:lang w:val="ru-RU" w:eastAsia="ru-RU" w:bidi="ru-RU"/>
      <w:b/>
      <w:bCs/>
      <w:w w:val="100"/>
      <w:spacing w:val="0"/>
      <w:color w:val="000000"/>
      <w:position w:val="0"/>
    </w:rPr>
  </w:style>
  <w:style w:type="character" w:customStyle="1" w:styleId="CharStyle26">
    <w:name w:val="Заголовок №2 (2)_"/>
    <w:basedOn w:val="DefaultParagraphFont"/>
    <w:link w:val="Style25"/>
    <w:rPr>
      <w:b/>
      <w:bCs/>
      <w:i w:val="0"/>
      <w:iCs w:val="0"/>
      <w:u w:val="none"/>
      <w:strike w:val="0"/>
      <w:smallCaps w:val="0"/>
      <w:sz w:val="20"/>
      <w:szCs w:val="20"/>
      <w:rFonts w:ascii="Times New Roman" w:eastAsia="Times New Roman" w:hAnsi="Times New Roman" w:cs="Times New Roman"/>
    </w:rPr>
  </w:style>
  <w:style w:type="character" w:customStyle="1" w:styleId="CharStyle28">
    <w:name w:val="Подпись к таблице (2)_"/>
    <w:basedOn w:val="DefaultParagraphFont"/>
    <w:link w:val="Style27"/>
    <w:rPr>
      <w:b w:val="0"/>
      <w:bCs w:val="0"/>
      <w:i w:val="0"/>
      <w:iCs w:val="0"/>
      <w:u w:val="none"/>
      <w:strike w:val="0"/>
      <w:smallCaps w:val="0"/>
      <w:rFonts w:ascii="Calibri" w:eastAsia="Calibri" w:hAnsi="Calibri" w:cs="Calibri"/>
    </w:rPr>
  </w:style>
  <w:style w:type="character" w:customStyle="1" w:styleId="CharStyle29">
    <w:name w:val="Основной текст"/>
    <w:basedOn w:val="CharStyle18"/>
    <w:rPr>
      <w:lang w:val="ru-RU" w:eastAsia="ru-RU" w:bidi="ru-RU"/>
      <w:w w:val="100"/>
      <w:spacing w:val="0"/>
      <w:color w:val="000000"/>
      <w:position w:val="0"/>
    </w:rPr>
  </w:style>
  <w:style w:type="character" w:customStyle="1" w:styleId="CharStyle31">
    <w:name w:val="Заголовок №2_"/>
    <w:basedOn w:val="DefaultParagraphFont"/>
    <w:link w:val="Style30"/>
    <w:rPr>
      <w:b w:val="0"/>
      <w:bCs w:val="0"/>
      <w:i w:val="0"/>
      <w:iCs w:val="0"/>
      <w:u w:val="none"/>
      <w:strike w:val="0"/>
      <w:smallCaps w:val="0"/>
      <w:sz w:val="21"/>
      <w:szCs w:val="21"/>
      <w:rFonts w:ascii="Calibri" w:eastAsia="Calibri" w:hAnsi="Calibri" w:cs="Calibri"/>
      <w:spacing w:val="20"/>
    </w:rPr>
  </w:style>
  <w:style w:type="character" w:customStyle="1" w:styleId="CharStyle33">
    <w:name w:val="Заголовок №1_"/>
    <w:basedOn w:val="DefaultParagraphFont"/>
    <w:link w:val="Style32"/>
    <w:rPr>
      <w:b w:val="0"/>
      <w:bCs w:val="0"/>
      <w:i w:val="0"/>
      <w:iCs w:val="0"/>
      <w:u w:val="none"/>
      <w:strike w:val="0"/>
      <w:smallCaps w:val="0"/>
      <w:sz w:val="20"/>
      <w:szCs w:val="20"/>
      <w:rFonts w:ascii="Times New Roman" w:eastAsia="Times New Roman" w:hAnsi="Times New Roman" w:cs="Times New Roman"/>
      <w:spacing w:val="20"/>
    </w:rPr>
  </w:style>
  <w:style w:type="character" w:customStyle="1" w:styleId="CharStyle34">
    <w:name w:val="Заголовок №1"/>
    <w:basedOn w:val="CharStyle33"/>
    <w:rPr>
      <w:lang w:val="ru-RU" w:eastAsia="ru-RU" w:bidi="ru-RU"/>
      <w:u w:val="single"/>
      <w:w w:val="100"/>
      <w:color w:val="000000"/>
      <w:position w:val="0"/>
    </w:rPr>
  </w:style>
  <w:style w:type="character" w:customStyle="1" w:styleId="CharStyle35">
    <w:name w:val="Основной текст (2) + 10,5 pt,Не полужирный"/>
    <w:basedOn w:val="CharStyle4"/>
    <w:rPr>
      <w:lang w:val="ru-RU" w:eastAsia="ru-RU" w:bidi="ru-RU"/>
      <w:b/>
      <w:bCs/>
      <w:sz w:val="21"/>
      <w:szCs w:val="21"/>
      <w:w w:val="100"/>
      <w:spacing w:val="0"/>
      <w:color w:val="000000"/>
      <w:position w:val="0"/>
    </w:rPr>
  </w:style>
  <w:style w:type="character" w:customStyle="1" w:styleId="CharStyle37">
    <w:name w:val="Подпись к таблице (3)_"/>
    <w:basedOn w:val="DefaultParagraphFont"/>
    <w:link w:val="Style36"/>
    <w:rPr>
      <w:b w:val="0"/>
      <w:bCs w:val="0"/>
      <w:i w:val="0"/>
      <w:iCs w:val="0"/>
      <w:u w:val="none"/>
      <w:strike w:val="0"/>
      <w:smallCaps w:val="0"/>
      <w:rFonts w:ascii="Calibri" w:eastAsia="Calibri" w:hAnsi="Calibri" w:cs="Calibri"/>
      <w:spacing w:val="20"/>
    </w:rPr>
  </w:style>
  <w:style w:type="character" w:customStyle="1" w:styleId="CharStyle39">
    <w:name w:val="Подпись к таблице_"/>
    <w:basedOn w:val="DefaultParagraphFont"/>
    <w:link w:val="Style38"/>
    <w:rPr>
      <w:b w:val="0"/>
      <w:bCs w:val="0"/>
      <w:i w:val="0"/>
      <w:iCs w:val="0"/>
      <w:u w:val="none"/>
      <w:strike w:val="0"/>
      <w:smallCaps w:val="0"/>
      <w:sz w:val="22"/>
      <w:szCs w:val="22"/>
      <w:rFonts w:ascii="Times New Roman" w:eastAsia="Times New Roman" w:hAnsi="Times New Roman" w:cs="Times New Roman"/>
    </w:rPr>
  </w:style>
  <w:style w:type="character" w:customStyle="1" w:styleId="CharStyle40">
    <w:name w:val="Основной текст + Lucida Sans Unicode,6,5 pt,Интервал -1 pt"/>
    <w:basedOn w:val="CharStyle18"/>
    <w:rPr>
      <w:lang w:val="ru-RU" w:eastAsia="ru-RU" w:bidi="ru-RU"/>
      <w:sz w:val="13"/>
      <w:szCs w:val="13"/>
      <w:rFonts w:ascii="Lucida Sans Unicode" w:eastAsia="Lucida Sans Unicode" w:hAnsi="Lucida Sans Unicode" w:cs="Lucida Sans Unicode"/>
      <w:w w:val="100"/>
      <w:spacing w:val="-20"/>
      <w:color w:val="000000"/>
      <w:position w:val="0"/>
    </w:rPr>
  </w:style>
  <w:style w:type="character" w:customStyle="1" w:styleId="CharStyle42">
    <w:name w:val="Основной текст (6)_"/>
    <w:basedOn w:val="DefaultParagraphFont"/>
    <w:link w:val="Style41"/>
    <w:rPr>
      <w:b w:val="0"/>
      <w:bCs w:val="0"/>
      <w:i/>
      <w:iCs/>
      <w:u w:val="none"/>
      <w:strike w:val="0"/>
      <w:smallCaps w:val="0"/>
      <w:sz w:val="19"/>
      <w:szCs w:val="19"/>
      <w:rFonts w:ascii="Times New Roman" w:eastAsia="Times New Roman" w:hAnsi="Times New Roman" w:cs="Times New Roman"/>
    </w:rPr>
  </w:style>
  <w:style w:type="character" w:customStyle="1" w:styleId="CharStyle43">
    <w:name w:val="Основной текст (6) + Полужирный"/>
    <w:basedOn w:val="CharStyle42"/>
    <w:rPr>
      <w:lang w:val="ru-RU" w:eastAsia="ru-RU" w:bidi="ru-RU"/>
      <w:b/>
      <w:bCs/>
      <w:u w:val="single"/>
      <w:w w:val="100"/>
      <w:spacing w:val="0"/>
      <w:color w:val="000000"/>
      <w:position w:val="0"/>
    </w:rPr>
  </w:style>
  <w:style w:type="character" w:customStyle="1" w:styleId="CharStyle44">
    <w:name w:val="Основной текст (6) + Полужирный"/>
    <w:basedOn w:val="CharStyle42"/>
    <w:rPr>
      <w:lang w:val="ru-RU" w:eastAsia="ru-RU" w:bidi="ru-RU"/>
      <w:b/>
      <w:bCs/>
      <w:w w:val="100"/>
      <w:spacing w:val="0"/>
      <w:color w:val="000000"/>
      <w:position w:val="0"/>
    </w:rPr>
  </w:style>
  <w:style w:type="character" w:customStyle="1" w:styleId="CharStyle45">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4"/>
    </w:rPr>
  </w:style>
  <w:style w:type="paragraph" w:customStyle="1" w:styleId="Style3">
    <w:name w:val="Основной текст (2)"/>
    <w:basedOn w:val="Normal"/>
    <w:link w:val="CharStyle4"/>
    <w:pPr>
      <w:widowControl w:val="0"/>
      <w:shd w:val="clear" w:color="auto" w:fill="FFFFFF"/>
      <w:jc w:val="center"/>
      <w:spacing w:before="180" w:after="180" w:line="254"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80" w:after="480" w:line="206" w:lineRule="exact"/>
    </w:pPr>
    <w:rPr>
      <w:b/>
      <w:bCs/>
      <w:i w:val="0"/>
      <w:iCs w:val="0"/>
      <w:u w:val="none"/>
      <w:strike w:val="0"/>
      <w:smallCaps w:val="0"/>
      <w:sz w:val="15"/>
      <w:szCs w:val="15"/>
      <w:rFonts w:ascii="Times New Roman" w:eastAsia="Times New Roman" w:hAnsi="Times New Roman" w:cs="Times New Roman"/>
    </w:rPr>
  </w:style>
  <w:style w:type="paragraph" w:customStyle="1" w:styleId="Style8">
    <w:name w:val="Основной текст (4)"/>
    <w:basedOn w:val="Normal"/>
    <w:link w:val="CharStyle9"/>
    <w:pPr>
      <w:widowControl w:val="0"/>
      <w:shd w:val="clear" w:color="auto" w:fill="FFFFFF"/>
      <w:jc w:val="both"/>
      <w:spacing w:before="480" w:after="300" w:line="0" w:lineRule="exact"/>
    </w:pPr>
    <w:rPr>
      <w:b/>
      <w:bCs/>
      <w:i w:val="0"/>
      <w:iCs w:val="0"/>
      <w:u w:val="none"/>
      <w:strike w:val="0"/>
      <w:smallCaps w:val="0"/>
      <w:sz w:val="21"/>
      <w:szCs w:val="21"/>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jc w:val="both"/>
      <w:spacing w:before="30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jc w:val="both"/>
      <w:spacing w:before="18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5">
    <w:name w:val="Заголовок №2 (2)"/>
    <w:basedOn w:val="Normal"/>
    <w:link w:val="CharStyle26"/>
    <w:pPr>
      <w:widowControl w:val="0"/>
      <w:shd w:val="clear" w:color="auto" w:fill="FFFFFF"/>
      <w:jc w:val="both"/>
      <w:outlineLvl w:val="1"/>
      <w:spacing w:line="0" w:lineRule="exact"/>
      <w:ind w:firstLine="700"/>
    </w:pPr>
    <w:rPr>
      <w:b/>
      <w:bCs/>
      <w:i w:val="0"/>
      <w:iCs w:val="0"/>
      <w:u w:val="none"/>
      <w:strike w:val="0"/>
      <w:smallCaps w:val="0"/>
      <w:sz w:val="20"/>
      <w:szCs w:val="20"/>
      <w:rFonts w:ascii="Times New Roman" w:eastAsia="Times New Roman" w:hAnsi="Times New Roman" w:cs="Times New Roman"/>
    </w:rPr>
  </w:style>
  <w:style w:type="paragraph" w:customStyle="1" w:styleId="Style27">
    <w:name w:val="Подпись к таблице (2)"/>
    <w:basedOn w:val="Normal"/>
    <w:link w:val="CharStyle28"/>
    <w:pPr>
      <w:widowControl w:val="0"/>
      <w:shd w:val="clear" w:color="auto" w:fill="FFFFFF"/>
      <w:spacing w:line="0" w:lineRule="exact"/>
    </w:pPr>
    <w:rPr>
      <w:b w:val="0"/>
      <w:bCs w:val="0"/>
      <w:i w:val="0"/>
      <w:iCs w:val="0"/>
      <w:u w:val="none"/>
      <w:strike w:val="0"/>
      <w:smallCaps w:val="0"/>
      <w:rFonts w:ascii="Calibri" w:eastAsia="Calibri" w:hAnsi="Calibri" w:cs="Calibri"/>
    </w:rPr>
  </w:style>
  <w:style w:type="paragraph" w:customStyle="1" w:styleId="Style30">
    <w:name w:val="Заголовок №2"/>
    <w:basedOn w:val="Normal"/>
    <w:link w:val="CharStyle31"/>
    <w:pPr>
      <w:widowControl w:val="0"/>
      <w:shd w:val="clear" w:color="auto" w:fill="FFFFFF"/>
      <w:jc w:val="both"/>
      <w:outlineLvl w:val="1"/>
      <w:spacing w:after="60" w:line="0" w:lineRule="exact"/>
      <w:ind w:firstLine="860"/>
    </w:pPr>
    <w:rPr>
      <w:b w:val="0"/>
      <w:bCs w:val="0"/>
      <w:i w:val="0"/>
      <w:iCs w:val="0"/>
      <w:u w:val="none"/>
      <w:strike w:val="0"/>
      <w:smallCaps w:val="0"/>
      <w:sz w:val="21"/>
      <w:szCs w:val="21"/>
      <w:rFonts w:ascii="Calibri" w:eastAsia="Calibri" w:hAnsi="Calibri" w:cs="Calibri"/>
      <w:spacing w:val="20"/>
    </w:rPr>
  </w:style>
  <w:style w:type="paragraph" w:customStyle="1" w:styleId="Style32">
    <w:name w:val="Заголовок №1"/>
    <w:basedOn w:val="Normal"/>
    <w:link w:val="CharStyle33"/>
    <w:pPr>
      <w:widowControl w:val="0"/>
      <w:shd w:val="clear" w:color="auto" w:fill="FFFFFF"/>
      <w:jc w:val="both"/>
      <w:outlineLvl w:val="0"/>
      <w:spacing w:line="274" w:lineRule="exact"/>
    </w:pPr>
    <w:rPr>
      <w:b w:val="0"/>
      <w:bCs w:val="0"/>
      <w:i w:val="0"/>
      <w:iCs w:val="0"/>
      <w:u w:val="none"/>
      <w:strike w:val="0"/>
      <w:smallCaps w:val="0"/>
      <w:sz w:val="20"/>
      <w:szCs w:val="20"/>
      <w:rFonts w:ascii="Times New Roman" w:eastAsia="Times New Roman" w:hAnsi="Times New Roman" w:cs="Times New Roman"/>
      <w:spacing w:val="20"/>
    </w:rPr>
  </w:style>
  <w:style w:type="paragraph" w:customStyle="1" w:styleId="Style36">
    <w:name w:val="Подпись к таблице (3)"/>
    <w:basedOn w:val="Normal"/>
    <w:link w:val="CharStyle37"/>
    <w:pPr>
      <w:widowControl w:val="0"/>
      <w:shd w:val="clear" w:color="auto" w:fill="FFFFFF"/>
      <w:spacing w:line="278" w:lineRule="exact"/>
    </w:pPr>
    <w:rPr>
      <w:b w:val="0"/>
      <w:bCs w:val="0"/>
      <w:i w:val="0"/>
      <w:iCs w:val="0"/>
      <w:u w:val="none"/>
      <w:strike w:val="0"/>
      <w:smallCaps w:val="0"/>
      <w:rFonts w:ascii="Calibri" w:eastAsia="Calibri" w:hAnsi="Calibri" w:cs="Calibri"/>
      <w:spacing w:val="20"/>
    </w:rPr>
  </w:style>
  <w:style w:type="paragraph" w:customStyle="1" w:styleId="Style38">
    <w:name w:val="Подпись к таблице"/>
    <w:basedOn w:val="Normal"/>
    <w:link w:val="CharStyle39"/>
    <w:pPr>
      <w:widowControl w:val="0"/>
      <w:shd w:val="clear" w:color="auto" w:fill="FFFFFF"/>
      <w:jc w:val="both"/>
      <w:spacing w:line="278" w:lineRule="exact"/>
      <w:ind w:firstLine="860"/>
    </w:pPr>
    <w:rPr>
      <w:b w:val="0"/>
      <w:bCs w:val="0"/>
      <w:i w:val="0"/>
      <w:iCs w:val="0"/>
      <w:u w:val="none"/>
      <w:strike w:val="0"/>
      <w:smallCaps w:val="0"/>
      <w:sz w:val="22"/>
      <w:szCs w:val="22"/>
      <w:rFonts w:ascii="Times New Roman" w:eastAsia="Times New Roman" w:hAnsi="Times New Roman" w:cs="Times New Roman"/>
    </w:rPr>
  </w:style>
  <w:style w:type="paragraph" w:customStyle="1" w:styleId="Style41">
    <w:name w:val="Основной текст (6)"/>
    <w:basedOn w:val="Normal"/>
    <w:link w:val="CharStyle42"/>
    <w:pPr>
      <w:widowControl w:val="0"/>
      <w:shd w:val="clear" w:color="auto" w:fill="FFFFFF"/>
      <w:jc w:val="both"/>
      <w:spacing w:before="540" w:line="216"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