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99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69" w:left="1296" w:right="7056" w:bottom="11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069" w:left="901" w:right="1495" w:bottom="1166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bolshunov </w:t>
      </w:r>
      <w:r>
        <w:fldChar w:fldCharType="begin"/>
      </w:r>
      <w:r>
        <w:rPr>
          <w:color w:val="000000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12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0" w:line="190" w:lineRule="exact"/>
        <w:ind w:left="1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08.02.2021 № 04-03-ЯР</w:t>
      </w:r>
    </w:p>
    <w:p>
      <w:pPr>
        <w:pStyle w:val="Style8"/>
        <w:framePr w:h="169" w:vSpace="44" w:wrap="around" w:vAnchor="text" w:hAnchor="margin" w:x="2422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435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6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075/06/34-56/2021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от ООО «ТехСтройПартнер» (вх.727 от 04.02.2021)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муниципального района «Хилокский район», уполномоченным учреждением - ГКУ «Забайкальский центр государственных закупок» при проведении электронного аукциона «Ремонт моста через р. Блудная в с. Линево - Озеро, Хилокского района (198-ЭА)» (реестровый № 0891200000621000177), Управление Федеральной антимонопольной службы по Забайкальскому краю сообщает.</w:t>
      </w:r>
    </w:p>
    <w:p>
      <w:pPr>
        <w:pStyle w:val="Style6"/>
        <w:tabs>
          <w:tab w:leader="none" w:pos="4205" w:val="right"/>
          <w:tab w:leader="none" w:pos="4363" w:val="left"/>
          <w:tab w:leader="none" w:pos="6822" w:val="left"/>
          <w:tab w:leader="none" w:pos="6723" w:val="left"/>
          <w:tab w:leader="none" w:pos="100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</w:t>
        <w:tab/>
        <w:t>11</w:t>
        <w:tab/>
        <w:t>статьи 105</w:t>
        <w:tab/>
        <w:t>Закона о</w:t>
        <w:tab/>
        <w:t>контрактной</w:t>
        <w:tab/>
        <w:t>системе, жалоба</w:t>
      </w:r>
    </w:p>
    <w:p>
      <w:pPr>
        <w:pStyle w:val="Style6"/>
        <w:tabs>
          <w:tab w:leader="none" w:pos="4359" w:val="left"/>
          <w:tab w:leader="none" w:pos="4261" w:val="left"/>
          <w:tab w:leader="none" w:pos="100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возвращается подавшему ее лицу</w:t>
        <w:tab/>
        <w:t>без</w:t>
        <w:tab/>
        <w:t>рассмотрения в случае, если жалоба</w:t>
        <w:tab/>
        <w:t>не соответствует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требованиям, установленным указанной статьей.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подписывается подающим ее лицом или его представителем.</w:t>
      </w:r>
    </w:p>
    <w:p>
      <w:pPr>
        <w:pStyle w:val="Style6"/>
        <w:tabs>
          <w:tab w:leader="none" w:pos="4205" w:val="right"/>
          <w:tab w:leader="none" w:pos="4370" w:val="left"/>
          <w:tab w:leader="none" w:pos="6666" w:val="right"/>
          <w:tab w:leader="none" w:pos="6829" w:val="left"/>
          <w:tab w:leader="none" w:pos="100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</w:t>
        <w:tab/>
        <w:t>11</w:t>
        <w:tab/>
        <w:t>статьи 105</w:t>
        <w:tab/>
        <w:t>Закона о</w:t>
        <w:tab/>
        <w:t>контрактной</w:t>
        <w:tab/>
        <w:t>системе, жалоба</w:t>
      </w:r>
    </w:p>
    <w:p>
      <w:pPr>
        <w:pStyle w:val="Style6"/>
        <w:tabs>
          <w:tab w:leader="none" w:pos="4205" w:val="right"/>
          <w:tab w:leader="none" w:pos="4366" w:val="left"/>
          <w:tab w:leader="none" w:pos="6666" w:val="right"/>
          <w:tab w:leader="none" w:pos="68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возвращается подавшему ее лицу</w:t>
        <w:tab/>
        <w:t>без</w:t>
        <w:tab/>
        <w:t>рассмотрения</w:t>
        <w:tab/>
        <w:t>в случае,</w:t>
        <w:tab/>
        <w:t>если жалоба не подписана или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подписана лицом, полномочия которого не подтверждены документами.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Поданная обществом по электронной почте жалоба не подписана электронно-цифровой подписью.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2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  <w:sectPr>
          <w:type w:val="continuous"/>
          <w:pgSz w:w="11906" w:h="16838"/>
          <w:pgMar w:top="1069" w:left="929" w:right="889" w:bottom="11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решение,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30" w:wrap="around" w:vAnchor="text" w:hAnchor="margin" w:x="7415" w:y="25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1"/>
          <w:spacing w:val="0"/>
        </w:rPr>
        <w:t>А.В. Горбунова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Забайкальского У ФАС России</w:t>
      </w:r>
    </w:p>
    <w:sectPr>
      <w:type w:val="continuous"/>
      <w:pgSz w:w="11906" w:h="16838"/>
      <w:pgMar w:top="1069" w:left="929" w:right="7524" w:bottom="11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480" w:line="29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line="25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