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9" w:after="14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14" w:line="260" w:lineRule="exact"/>
        <w:ind w:left="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spacing w:before="0" w:after="149" w:line="270"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175"/>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rPr>
        <w:t>to86@fas.gov.ru</w:t>
      </w:r>
      <w:r>
        <w:fldChar w:fldCharType="end"/>
      </w:r>
    </w:p>
    <w:p>
      <w:pPr>
        <w:pStyle w:val="Style10"/>
        <w:tabs>
          <w:tab w:leader="none" w:pos="1656" w:val="right"/>
          <w:tab w:leader="none" w:pos="2160" w:val="right"/>
          <w:tab w:leader="none" w:pos="2959" w:val="right"/>
        </w:tabs>
        <w:widowControl w:val="0"/>
        <w:keepNext w:val="0"/>
        <w:keepLines w:val="0"/>
        <w:shd w:val="clear" w:color="auto" w:fill="auto"/>
        <w:bidi w:val="0"/>
        <w:spacing w:before="0" w:after="0" w:line="240" w:lineRule="exact"/>
        <w:ind w:left="0" w:right="0" w:firstLine="0"/>
      </w:pPr>
      <w:r>
        <w:rPr>
          <w:rStyle w:val="CharStyle12"/>
        </w:rPr>
        <w:t xml:space="preserve">/OS'. </w:t>
      </w:r>
      <w:r>
        <w:rPr>
          <w:rStyle w:val="CharStyle13"/>
        </w:rPr>
        <w:t>02.</w:t>
      </w:r>
      <w:r>
        <w:rPr>
          <w:rStyle w:val="CharStyle14"/>
          <w:lang w:val="ru-RU" w:eastAsia="ru-RU" w:bidi="ru-RU"/>
        </w:rPr>
        <w:tab/>
      </w:r>
      <w:r>
        <w:rPr>
          <w:lang w:val="ru-RU" w:eastAsia="ru-RU" w:bidi="ru-RU"/>
          <w:w w:val="100"/>
          <w:spacing w:val="0"/>
          <w:color w:val="000000"/>
          <w:position w:val="0"/>
        </w:rPr>
        <w:t>2021</w:t>
        <w:tab/>
        <w:t>№</w:t>
        <w:tab/>
        <w:t>03/ТИ-</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 xml:space="preserve">АО "Сбербанк - </w:t>
      </w:r>
      <w:r>
        <w:rPr>
          <w:lang w:val="en-US" w:eastAsia="en-US" w:bidi="en-US"/>
          <w:w w:val="100"/>
          <w:spacing w:val="0"/>
          <w:color w:val="000000"/>
          <w:position w:val="0"/>
        </w:rPr>
        <w:t>ACT"</w:t>
      </w:r>
    </w:p>
    <w:p>
      <w:pPr>
        <w:pStyle w:val="Style10"/>
        <w:widowControl w:val="0"/>
        <w:keepNext w:val="0"/>
        <w:keepLines w:val="0"/>
        <w:shd w:val="clear" w:color="auto" w:fill="auto"/>
        <w:bidi w:val="0"/>
        <w:jc w:val="left"/>
        <w:spacing w:before="0" w:after="0" w:line="277" w:lineRule="exact"/>
        <w:ind w:left="20" w:right="900" w:firstLine="0"/>
      </w:pPr>
      <w:r>
        <w:rPr>
          <w:lang w:val="ru-RU" w:eastAsia="ru-RU" w:bidi="ru-RU"/>
          <w:w w:val="100"/>
          <w:spacing w:val="0"/>
          <w:color w:val="000000"/>
          <w:position w:val="0"/>
        </w:rPr>
        <w:t>119435, г. Москва, Большой Саввинский переулок, д. 12, стр.9</w:t>
      </w:r>
    </w:p>
    <w:p>
      <w:pPr>
        <w:pStyle w:val="Style10"/>
        <w:widowControl w:val="0"/>
        <w:keepNext w:val="0"/>
        <w:keepLines w:val="0"/>
        <w:shd w:val="clear" w:color="auto" w:fill="auto"/>
        <w:bidi w:val="0"/>
        <w:jc w:val="left"/>
        <w:spacing w:before="0" w:after="0" w:line="277" w:lineRule="exact"/>
        <w:ind w:left="20" w:right="620" w:firstLine="0"/>
      </w:pPr>
      <w:r>
        <w:rPr>
          <w:lang w:val="ru-RU" w:eastAsia="ru-RU" w:bidi="ru-RU"/>
          <w:w w:val="100"/>
          <w:spacing w:val="0"/>
          <w:color w:val="000000"/>
          <w:position w:val="0"/>
        </w:rPr>
        <w:t>тел.: (495) 7872999/97 доб. 369, Факс: (495) 7872998</w:t>
      </w:r>
    </w:p>
    <w:p>
      <w:pPr>
        <w:pStyle w:val="Style10"/>
        <w:widowControl w:val="0"/>
        <w:keepNext w:val="0"/>
        <w:keepLines w:val="0"/>
        <w:shd w:val="clear" w:color="auto" w:fill="auto"/>
        <w:bidi w:val="0"/>
        <w:jc w:val="left"/>
        <w:spacing w:before="0" w:after="0" w:line="277" w:lineRule="exact"/>
        <w:ind w:left="20" w:right="62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5"/>
        </w:rPr>
        <w:t>Заявитель:</w:t>
      </w:r>
    </w:p>
    <w:p>
      <w:pPr>
        <w:pStyle w:val="Style10"/>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ООО «ДЖУЛИ»</w:t>
      </w:r>
    </w:p>
    <w:p>
      <w:pPr>
        <w:pStyle w:val="Style10"/>
        <w:widowControl w:val="0"/>
        <w:keepNext w:val="0"/>
        <w:keepLines w:val="0"/>
        <w:shd w:val="clear" w:color="auto" w:fill="auto"/>
        <w:bidi w:val="0"/>
        <w:jc w:val="left"/>
        <w:spacing w:before="0" w:after="0" w:line="277" w:lineRule="exact"/>
        <w:ind w:left="20" w:right="620" w:firstLine="0"/>
      </w:pPr>
      <w:r>
        <w:rPr>
          <w:lang w:val="ru-RU" w:eastAsia="ru-RU" w:bidi="ru-RU"/>
          <w:w w:val="100"/>
          <w:spacing w:val="0"/>
          <w:color w:val="000000"/>
          <w:position w:val="0"/>
        </w:rPr>
        <w:t xml:space="preserve">620063, г. Екатеринбург, улица Чапаева, строение 14, корпус 3, часть помещения 19 Тел.: +7-922-03-74-789 </w:t>
      </w:r>
      <w:r>
        <w:rPr>
          <w:lang w:val="en-US" w:eastAsia="en-US" w:bidi="en-US"/>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r>
        <w:rPr>
          <w:lang w:val="en-US" w:eastAsia="en-US" w:bidi="en-US"/>
          <w:w w:val="100"/>
          <w:spacing w:val="0"/>
          <w:color w:val="000000"/>
          <w:position w:val="0"/>
        </w:rPr>
        <w:t xml:space="preserve"> </w:t>
      </w:r>
      <w:r>
        <w:rPr>
          <w:rStyle w:val="CharStyle15"/>
        </w:rPr>
        <w:t>Заказчик:</w:t>
      </w:r>
    </w:p>
    <w:p>
      <w:pPr>
        <w:pStyle w:val="Style10"/>
        <w:widowControl w:val="0"/>
        <w:keepNext w:val="0"/>
        <w:keepLines w:val="0"/>
        <w:shd w:val="clear" w:color="auto" w:fill="auto"/>
        <w:bidi w:val="0"/>
        <w:jc w:val="left"/>
        <w:spacing w:before="0" w:after="0" w:line="277" w:lineRule="exact"/>
        <w:ind w:left="20" w:right="40" w:firstLine="0"/>
        <w:sectPr>
          <w:footnotePr>
            <w:pos w:val="pageBottom"/>
            <w:numFmt w:val="decimal"/>
            <w:numRestart w:val="continuous"/>
          </w:footnotePr>
          <w:type w:val="continuous"/>
          <w:pgSz w:w="11906" w:h="16838"/>
          <w:pgMar w:top="278" w:left="960" w:right="1410" w:bottom="606" w:header="0" w:footer="3" w:gutter="0"/>
          <w:rtlGutter w:val="0"/>
          <w:cols w:num="2" w:space="720" w:equalWidth="0">
            <w:col w:w="3992" w:space="482"/>
            <w:col w:w="5062"/>
          </w:cols>
          <w:noEndnote/>
          <w:docGrid w:linePitch="360"/>
        </w:sectPr>
      </w:pPr>
      <w:r>
        <w:rPr>
          <w:lang w:val="ru-RU" w:eastAsia="ru-RU" w:bidi="ru-RU"/>
          <w:w w:val="100"/>
          <w:spacing w:val="0"/>
          <w:color w:val="000000"/>
          <w:position w:val="0"/>
        </w:rPr>
        <w:t xml:space="preserve">Администрация сельского поселения Селиярово 628506, Ханты-Мансийский автономный округ - Югра, Ханты-Мансийский район, с. Селиярово, ул. братьев Фирсовых, д.24а Тел.: 83467377442 </w:t>
      </w:r>
      <w:r>
        <w:rPr>
          <w:lang w:val="en-US" w:eastAsia="en-US" w:bidi="en-US"/>
          <w:w w:val="100"/>
          <w:spacing w:val="0"/>
          <w:color w:val="000000"/>
          <w:position w:val="0"/>
        </w:rPr>
        <w:t xml:space="preserve">e-mail: </w:t>
      </w:r>
      <w:r>
        <w:fldChar w:fldCharType="begin"/>
      </w:r>
      <w:r>
        <w:rPr>
          <w:rStyle w:val="CharStyle16"/>
        </w:rPr>
        <w:instrText> HYPERLINK "mailto:slr@hmrn.ru" </w:instrText>
      </w:r>
      <w:r>
        <w:fldChar w:fldCharType="separate"/>
      </w:r>
      <w:r>
        <w:rPr>
          <w:rStyle w:val="Hyperlink"/>
        </w:rPr>
        <w:t>slr@hmrn.ru</w:t>
      </w:r>
      <w:r>
        <w:fldChar w:fldCharType="end"/>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55" w:line="220" w:lineRule="exact"/>
        <w:ind w:left="0" w:right="0" w:firstLine="0"/>
      </w:pPr>
      <w:r>
        <w:rPr>
          <w:lang w:val="ru-RU" w:eastAsia="ru-RU" w:bidi="ru-RU"/>
          <w:w w:val="100"/>
          <w:spacing w:val="0"/>
          <w:color w:val="000000"/>
          <w:position w:val="0"/>
        </w:rPr>
        <w:t>РЕШЕНИЕ № 086/06/110.2-180/2021</w:t>
      </w:r>
    </w:p>
    <w:p>
      <w:pPr>
        <w:pStyle w:val="Style10"/>
        <w:tabs>
          <w:tab w:leader="none" w:pos="8098" w:val="right"/>
          <w:tab w:leader="none" w:pos="8281" w:val="left"/>
        </w:tabs>
        <w:widowControl w:val="0"/>
        <w:keepNext w:val="0"/>
        <w:keepLines w:val="0"/>
        <w:shd w:val="clear" w:color="auto" w:fill="auto"/>
        <w:bidi w:val="0"/>
        <w:spacing w:before="0" w:after="0" w:line="284" w:lineRule="exact"/>
        <w:ind w:left="20" w:right="0" w:firstLine="0"/>
      </w:pPr>
      <w:r>
        <w:rPr>
          <w:lang w:val="ru-RU" w:eastAsia="ru-RU" w:bidi="ru-RU"/>
          <w:w w:val="100"/>
          <w:spacing w:val="0"/>
          <w:color w:val="000000"/>
          <w:position w:val="0"/>
        </w:rPr>
        <w:t>Резолютивная часть объявлена 03.02.2021</w:t>
        <w:tab/>
        <w:t>г.</w:t>
        <w:tab/>
        <w:t>Ханты-Мансийск</w:t>
      </w:r>
    </w:p>
    <w:p>
      <w:pPr>
        <w:pStyle w:val="Style10"/>
        <w:widowControl w:val="0"/>
        <w:keepNext w:val="0"/>
        <w:keepLines w:val="0"/>
        <w:shd w:val="clear" w:color="auto" w:fill="auto"/>
        <w:bidi w:val="0"/>
        <w:spacing w:before="0" w:after="189" w:line="284" w:lineRule="exact"/>
        <w:ind w:left="20" w:right="0" w:firstLine="0"/>
      </w:pPr>
      <w:r>
        <w:rPr>
          <w:lang w:val="ru-RU" w:eastAsia="ru-RU" w:bidi="ru-RU"/>
          <w:w w:val="100"/>
          <w:spacing w:val="0"/>
          <w:color w:val="000000"/>
          <w:position w:val="0"/>
        </w:rPr>
        <w:t>Изготовлено в полном объеме 05.02.2021</w:t>
      </w:r>
    </w:p>
    <w:p>
      <w:pPr>
        <w:pStyle w:val="Style10"/>
        <w:widowControl w:val="0"/>
        <w:keepNext w:val="0"/>
        <w:keepLines w:val="0"/>
        <w:shd w:val="clear" w:color="auto" w:fill="auto"/>
        <w:bidi w:val="0"/>
        <w:spacing w:before="0" w:after="18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spacing w:before="0" w:after="183" w:line="274"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spacing w:before="0" w:after="0" w:line="270" w:lineRule="exact"/>
        <w:ind w:left="2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spacing w:before="0" w:after="177" w:line="270" w:lineRule="exact"/>
        <w:ind w:left="20" w:right="20" w:firstLine="700"/>
      </w:pPr>
      <w:r>
        <w:rPr>
          <w:lang w:val="ru-RU" w:eastAsia="ru-RU" w:bidi="ru-RU"/>
          <w:w w:val="100"/>
          <w:spacing w:val="0"/>
          <w:color w:val="000000"/>
          <w:position w:val="0"/>
        </w:rPr>
        <w:t>от Заказчика - посредством видеоконференц-связи Фёдоров А.В. по доверенности №1 от 29.01.2021г.,</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рассмотрев жалобу от ООО «ДЖУЛИ» (ИНН 6671106133 ОГРН: 1206600033837) от</w:t>
      </w:r>
    </w:p>
    <w:p>
      <w:pPr>
        <w:pStyle w:val="Style10"/>
        <w:numPr>
          <w:ilvl w:val="0"/>
          <w:numId w:val="3"/>
        </w:numPr>
        <w:tabs>
          <w:tab w:leader="none" w:pos="1228" w:val="left"/>
        </w:tabs>
        <w:widowControl w:val="0"/>
        <w:keepNext w:val="0"/>
        <w:keepLines w:val="0"/>
        <w:shd w:val="clear" w:color="auto" w:fill="auto"/>
        <w:bidi w:val="0"/>
        <w:spacing w:before="0" w:after="223" w:line="274" w:lineRule="exact"/>
        <w:ind w:left="20" w:right="20" w:firstLine="0"/>
      </w:pPr>
      <w:r>
        <w:rPr>
          <w:lang w:val="ru-RU" w:eastAsia="ru-RU" w:bidi="ru-RU"/>
          <w:w w:val="100"/>
          <w:spacing w:val="0"/>
          <w:color w:val="000000"/>
          <w:position w:val="0"/>
        </w:rPr>
        <w:t xml:space="preserve">№171-ж на действия Заказчика — Администрация сельского поселения Селиярово, при проведении электронного аукциона предметом, которого является здание гаража по адресу: ХМАО-Югра, Ханты-Мансийский район, с. Селиярово, ул. Колхозная 15. (извещение № 0187300017221000001)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90" w:line="220" w:lineRule="exact"/>
        <w:ind w:left="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«ДЖУЛИ» (ИНН 6671106133 ОГРН: 1206600033837) от 27.01.2021 №171-ж (далее - Заявитель) на действия Заказчика, при проведении электронного аукциона (извещение № 0187300017221000001).</w:t>
      </w:r>
      <w:r>
        <w:br w:type="page"/>
      </w:r>
    </w:p>
    <w:p>
      <w:pPr>
        <w:pStyle w:val="Style10"/>
        <w:widowControl w:val="0"/>
        <w:keepNext w:val="0"/>
        <w:keepLines w:val="0"/>
        <w:shd w:val="clear" w:color="auto" w:fill="auto"/>
        <w:bidi w:val="0"/>
        <w:spacing w:before="0" w:after="0" w:line="230"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0"/>
        <w:numPr>
          <w:ilvl w:val="0"/>
          <w:numId w:val="5"/>
        </w:numPr>
        <w:tabs>
          <w:tab w:leader="none" w:pos="1395" w:val="left"/>
        </w:tabs>
        <w:widowControl w:val="0"/>
        <w:keepNext w:val="0"/>
        <w:keepLines w:val="0"/>
        <w:shd w:val="clear" w:color="auto" w:fill="auto"/>
        <w:bidi w:val="0"/>
        <w:spacing w:before="0" w:after="0" w:line="281" w:lineRule="exact"/>
        <w:ind w:left="20" w:right="20" w:firstLine="700"/>
      </w:pPr>
      <w:r>
        <w:rPr>
          <w:lang w:val="ru-RU" w:eastAsia="ru-RU" w:bidi="ru-RU"/>
          <w:w w:val="100"/>
          <w:spacing w:val="0"/>
          <w:color w:val="000000"/>
          <w:position w:val="0"/>
        </w:rPr>
        <w:t xml:space="preserve">По мнению Заявителя, график выполнения строительно-монтажных работ полностью не соответствует приказу </w:t>
      </w:r>
      <w:r>
        <w:rPr>
          <w:lang w:val="en-US" w:eastAsia="en-US" w:bidi="en-US"/>
          <w:w w:val="100"/>
          <w:spacing w:val="0"/>
          <w:color w:val="000000"/>
          <w:position w:val="0"/>
        </w:rPr>
        <w:t xml:space="preserve">N </w:t>
      </w:r>
      <w:r>
        <w:rPr>
          <w:lang w:val="ru-RU" w:eastAsia="ru-RU" w:bidi="ru-RU"/>
          <w:w w:val="100"/>
          <w:spacing w:val="0"/>
          <w:color w:val="000000"/>
          <w:position w:val="0"/>
        </w:rPr>
        <w:t>841/пр, что является нарушением ст. 110.2 Закона о Контрактной системе.</w:t>
      </w:r>
    </w:p>
    <w:p>
      <w:pPr>
        <w:pStyle w:val="Style10"/>
        <w:numPr>
          <w:ilvl w:val="0"/>
          <w:numId w:val="5"/>
        </w:numPr>
        <w:tabs>
          <w:tab w:leader="none" w:pos="1395" w:val="left"/>
        </w:tabs>
        <w:widowControl w:val="0"/>
        <w:keepNext w:val="0"/>
        <w:keepLines w:val="0"/>
        <w:shd w:val="clear" w:color="auto" w:fill="auto"/>
        <w:bidi w:val="0"/>
        <w:spacing w:before="0" w:after="232" w:line="281" w:lineRule="exact"/>
        <w:ind w:left="20" w:right="20" w:firstLine="700"/>
      </w:pPr>
      <w:r>
        <w:rPr>
          <w:lang w:val="ru-RU" w:eastAsia="ru-RU" w:bidi="ru-RU"/>
          <w:w w:val="100"/>
          <w:spacing w:val="0"/>
          <w:color w:val="000000"/>
          <w:position w:val="0"/>
        </w:rPr>
        <w:t>Кроме того, законодательством однозначно указывается на необходимость размещения в составе аукционной документации проекта сметы контракта. Однако, данного обязательного приложения нет в составе аукционной документаций.</w:t>
      </w:r>
    </w:p>
    <w:p>
      <w:pPr>
        <w:pStyle w:val="Style3"/>
        <w:widowControl w:val="0"/>
        <w:keepNext w:val="0"/>
        <w:keepLines w:val="0"/>
        <w:shd w:val="clear" w:color="auto" w:fill="auto"/>
        <w:bidi w:val="0"/>
        <w:jc w:val="both"/>
        <w:spacing w:before="0" w:after="0" w:line="292" w:lineRule="exact"/>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numPr>
          <w:ilvl w:val="0"/>
          <w:numId w:val="7"/>
        </w:numPr>
        <w:tabs>
          <w:tab w:leader="none" w:pos="1004" w:val="lef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Согласно части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В силу части 6 статьи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Согласно части 6.1 статьи 110.2 Закона о контрактной системе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В соответствии с частью 7 статьи 110.2 Закона о контрактной системе методика составления указанных в части 6 настоящей статьи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 xml:space="preserve">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утверждена Приказом Минстроя России от 05.06.2018 </w:t>
      </w:r>
      <w:r>
        <w:rPr>
          <w:lang w:val="en-US" w:eastAsia="en-US" w:bidi="en-US"/>
          <w:w w:val="100"/>
          <w:spacing w:val="0"/>
          <w:color w:val="000000"/>
          <w:position w:val="0"/>
        </w:rPr>
        <w:t xml:space="preserve">N </w:t>
      </w:r>
      <w:r>
        <w:rPr>
          <w:lang w:val="ru-RU" w:eastAsia="ru-RU" w:bidi="ru-RU"/>
          <w:w w:val="100"/>
          <w:spacing w:val="0"/>
          <w:color w:val="000000"/>
          <w:position w:val="0"/>
        </w:rPr>
        <w:t xml:space="preserve">336/пр (далее - Методика), который вступил в силу с 01.01.2019 г. Приказ Минстроя России от 05.06.2018 </w:t>
      </w:r>
      <w:r>
        <w:rPr>
          <w:lang w:val="en-US" w:eastAsia="en-US" w:bidi="en-US"/>
          <w:w w:val="100"/>
          <w:spacing w:val="0"/>
          <w:color w:val="000000"/>
          <w:position w:val="0"/>
        </w:rPr>
        <w:t xml:space="preserve">N </w:t>
      </w:r>
      <w:r>
        <w:rPr>
          <w:lang w:val="ru-RU" w:eastAsia="ru-RU" w:bidi="ru-RU"/>
          <w:w w:val="100"/>
          <w:spacing w:val="0"/>
          <w:color w:val="000000"/>
          <w:position w:val="0"/>
        </w:rPr>
        <w:t xml:space="preserve">336/пр зарегистрирован в Минюсте России 23.10.2018 г. </w:t>
      </w:r>
      <w:r>
        <w:rPr>
          <w:lang w:val="en-US" w:eastAsia="en-US" w:bidi="en-US"/>
          <w:w w:val="100"/>
          <w:spacing w:val="0"/>
          <w:color w:val="000000"/>
          <w:position w:val="0"/>
        </w:rPr>
        <w:t xml:space="preserve">N </w:t>
      </w:r>
      <w:r>
        <w:rPr>
          <w:lang w:val="ru-RU" w:eastAsia="ru-RU" w:bidi="ru-RU"/>
          <w:w w:val="100"/>
          <w:spacing w:val="0"/>
          <w:color w:val="000000"/>
          <w:position w:val="0"/>
        </w:rPr>
        <w:t>52499.</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Методика разработана в целях установления единых правил составления заказчиками графика выполнения строительно-монтажных работ, графика оплаты выполненных по контракту работ при закупке соответствующих работ в соответствии с Законом о контрактной системе.</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Так, пунктом 1.2 Методики предусмотрено, что график выполнения строительно-монтажных работ (далее - график выполнения работ) должен содержать информацию о сроке начала строительства, реконструкции объекта капитального строительства (далее - объект) (начальный срок), сроке окончания строительства, реконструкции объекта (конечный срок), о сроках завершения отдельных этапов выполнения работ по строительству, реконструкции объекта (промежуточные сроки).</w:t>
      </w:r>
    </w:p>
    <w:p>
      <w:pPr>
        <w:pStyle w:val="Style10"/>
        <w:widowControl w:val="0"/>
        <w:keepNext w:val="0"/>
        <w:keepLines w:val="0"/>
        <w:shd w:val="clear" w:color="auto" w:fill="auto"/>
        <w:bidi w:val="0"/>
        <w:spacing w:before="0" w:after="0" w:line="274" w:lineRule="exact"/>
        <w:ind w:left="20" w:right="20" w:firstLine="540"/>
      </w:pPr>
      <w:r>
        <w:rPr>
          <w:lang w:val="ru-RU" w:eastAsia="ru-RU" w:bidi="ru-RU"/>
          <w:w w:val="100"/>
          <w:spacing w:val="0"/>
          <w:color w:val="000000"/>
          <w:position w:val="0"/>
        </w:rPr>
        <w:t>При этом, в соответствии с пунктом 1.4 Методики график выполнения работ и график оплаты выполненных работ составляются заказчиком одновременно с проектом контракта, являются его приложением и размещаются заказчиком в единой информационной системе в сфере закупок вместе с документацией об осуществлении закупки, извещением о закупке.</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Согласно пункту 1.4-1.5 проекта контракта, Заказчиком установлено:</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«1.4. Начало выполнения работ:</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Работы выполняются в два этапа:</w:t>
      </w:r>
    </w:p>
    <w:p>
      <w:pPr>
        <w:pStyle w:val="Style10"/>
        <w:numPr>
          <w:ilvl w:val="0"/>
          <w:numId w:val="9"/>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этап: (60% от цены Контракта)</w:t>
      </w:r>
    </w:p>
    <w:p>
      <w:pPr>
        <w:pStyle w:val="Style10"/>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-Начало выполнения Работ: с даты заключения муниципального контракта;</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Окончание выполнения Работ: по 30.06.2021 г.;</w:t>
      </w:r>
    </w:p>
    <w:p>
      <w:pPr>
        <w:pStyle w:val="Style10"/>
        <w:numPr>
          <w:ilvl w:val="0"/>
          <w:numId w:val="9"/>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этап (40% от цены Контракта)</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Начало выполнения Работ: с 01.07.2021 г.</w:t>
      </w:r>
    </w:p>
    <w:p>
      <w:pPr>
        <w:pStyle w:val="Style10"/>
        <w:numPr>
          <w:ilvl w:val="0"/>
          <w:numId w:val="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Окончание выполнения Работ: до 25.11.2021 г.</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1.5. Работы подлежат выполнению в соответствии с Графиком выполнения строительно</w:t>
        <w:softHyphen/>
        <w:t>монтажных работ. Форма графика выполнения строительно-монтажных работ заполняется Подрядчиком самостоятельно и предоставляется Заказчику в течение 5 рабочих дней после заключения Контракта (Приложение №1 к Контракту), являющемуся неотъемлемой частью настоящего Контракта».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Комиссия Управления сообщает, что форма графика выполнения работ соответствует требованию приказа № 336/пр. Заказчиком на момент публикации документации об Аукционе заполнить график выполнения работ самостоятельно, без участия Подрядчика, указав конкретные виды работ и привязав их исполнение к определенным срокам не представлялось возможным в связи с тем, что объект строительства располагается в селе Селиярово (Ханты-Мансийском автономном округе - Югре, Ханты-Мансийского района) и учитывая труднодоступное транспортное сообщение, существуют затруднения с транспортной логистикой. Учитывая отсутствие железнодорожного сообщения в указанном населенном пункте, а также отсутствие надлежащей автомобильной дороги с асфальтобетонным покрытием вопрос доставки грузов и техники обсуждается с победителем Аукциона отдельно.</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Таким образом, Заказчиком в документации об Аукционе указано условие о том, что форма графика выполнения строительно-монтажных работ заполняется Подрядчиком самостоятельно и предоставляется Заказчику в течение 5 рабочих дней после заключения Контракта (с указанием конкретных дат начала и завершения работ соответственно).</w:t>
      </w:r>
    </w:p>
    <w:p>
      <w:pPr>
        <w:pStyle w:val="Style10"/>
        <w:widowControl w:val="0"/>
        <w:keepNext w:val="0"/>
        <w:keepLines w:val="0"/>
        <w:shd w:val="clear" w:color="auto" w:fill="auto"/>
        <w:bidi w:val="0"/>
        <w:spacing w:before="0" w:after="240" w:line="274" w:lineRule="exact"/>
        <w:ind w:left="20" w:right="20" w:firstLine="540"/>
      </w:pPr>
      <w:r>
        <w:rPr>
          <w:lang w:val="ru-RU" w:eastAsia="ru-RU" w:bidi="ru-RU"/>
          <w:w w:val="100"/>
          <w:spacing w:val="0"/>
          <w:color w:val="000000"/>
          <w:position w:val="0"/>
        </w:rPr>
        <w:t>Учитывая изложенное, Комиссия Управления приходит к выводу, что действия Заказчика не противоречат положениям Закона о контрактной системе, а довод Заявителя не нашел своего подтверждения.</w:t>
      </w:r>
    </w:p>
    <w:p>
      <w:pPr>
        <w:pStyle w:val="Style10"/>
        <w:numPr>
          <w:ilvl w:val="0"/>
          <w:numId w:val="7"/>
        </w:numPr>
        <w:tabs>
          <w:tab w:leader="none" w:pos="1015" w:val="lef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Кроме того, 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частью 5 статьи 110.2 Закона о контрактной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w:t>
        <w:softHyphen/>
        <w:t>монтажных работ утверждаются уполномоченным Правительством Российской Федерации федеральным органом исполнительной власти.</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Приказ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841/пр) издан в соответствии с частью 7 статьи 110.2 Закона о контрактной системе, и не может расширять положения федерального законодательства.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Статья 110.2 Закона о контрактной системе описывает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Style10"/>
        <w:tabs>
          <w:tab w:leader="none" w:pos="4768" w:val="left"/>
          <w:tab w:leader="none" w:pos="5485" w:val="left"/>
          <w:tab w:leader="none" w:pos="6795" w:val="left"/>
          <w:tab w:leader="none" w:pos="10239" w:val="righ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Частью 1 Методики составления</w:t>
        <w:tab/>
        <w:t>сметы</w:t>
        <w:tab/>
        <w:t>контракта,</w:t>
        <w:tab/>
        <w:t>предметом которого</w:t>
        <w:tab/>
        <w:t>являются</w:t>
      </w:r>
    </w:p>
    <w:p>
      <w:pPr>
        <w:pStyle w:val="Style10"/>
        <w:tabs>
          <w:tab w:leader="none" w:pos="4768" w:val="left"/>
          <w:tab w:leader="none" w:pos="5485" w:val="left"/>
          <w:tab w:leader="none" w:pos="6795" w:val="left"/>
          <w:tab w:leader="none" w:pos="10239" w:val="right"/>
        </w:tabs>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строительство, реконструкция объектов капитального строительства, утвержденной Приказом Минстроя России № 841/пр установлено, что методика составления сметы контракта, предметом которого являются строительство, реконструкция объектов капитального строительства, определяет общие правила составления</w:t>
        <w:tab/>
        <w:t>сметы</w:t>
        <w:tab/>
        <w:t>контракта,</w:t>
        <w:tab/>
        <w:t>предметом которого</w:t>
        <w:tab/>
        <w:t>являются</w:t>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строительство, реконструкция объектов капитального строительства,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Разделом VI приказа № 841/пр предусмотрен порядок составления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10"/>
        <w:tabs>
          <w:tab w:leader="none" w:pos="4768" w:val="left"/>
          <w:tab w:leader="none" w:pos="5533" w:val="left"/>
          <w:tab w:leader="none" w:pos="6865" w:val="lef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соответствии с подпунктом «б»</w:t>
        <w:tab/>
        <w:t>пункта</w:t>
        <w:tab/>
        <w:t>22 приказа</w:t>
        <w:tab/>
        <w:t>Министерства строительства и</w:t>
      </w:r>
    </w:p>
    <w:p>
      <w:pPr>
        <w:pStyle w:val="Style10"/>
        <w:tabs>
          <w:tab w:leader="none" w:pos="6845" w:val="left"/>
          <w:tab w:leader="none" w:pos="10239"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жилищно-коммунального хозяйства РФ от 23 декабря 2019</w:t>
        <w:tab/>
        <w:t xml:space="preserve">г. </w:t>
      </w:r>
      <w:r>
        <w:rPr>
          <w:lang w:val="en-US" w:eastAsia="en-US" w:bidi="en-US"/>
          <w:w w:val="100"/>
          <w:spacing w:val="0"/>
          <w:color w:val="000000"/>
          <w:position w:val="0"/>
        </w:rPr>
        <w:t xml:space="preserve">N </w:t>
      </w:r>
      <w:r>
        <w:rPr>
          <w:lang w:val="ru-RU" w:eastAsia="ru-RU" w:bidi="ru-RU"/>
          <w:w w:val="100"/>
          <w:spacing w:val="0"/>
          <w:color w:val="000000"/>
          <w:position w:val="0"/>
        </w:rPr>
        <w:t>841/пр, расчет</w:t>
        <w:tab/>
        <w:t>НМЦК с</w:t>
      </w:r>
    </w:p>
    <w:p>
      <w:pPr>
        <w:pStyle w:val="Style10"/>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применением индексов инфляций на период строительных работ также размещен и находится в архиве в составе аукционной документации.</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1)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частью 2 статьи 48 Градостроительного кодекса Российской Федерации от 29.12.2004 г.,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Проектная документация также размещена Заказчиком в составе аукционной документации и находится в архиве «Приложение №1 проектная документация».</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Кроме того, в составе аукционной документации имеется положительное заключение экспертизы проектной документации проверки достоверности сметной стоимости, выданное ООО НИИ «ПромЭксперт».</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Состав проектной документации определен Постановлением Правительства Российской Федерации от 16.02.2008 № 87 «О составе разделов проектной документации и требованиях к их содержанию», согласно которому проектная документация состоит из текстовой части, содержащей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графической части, отображающей принятые технические и иные решения и выполняется в виде чертежей, схем, планов и других документов в графической форме.</w:t>
      </w:r>
    </w:p>
    <w:p>
      <w:pPr>
        <w:pStyle w:val="Style10"/>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Также, Комиссией Управления установлено, что в единой информационной системе (далее - ЕИС), размещены в составе проектной документации все необходимые разделы, без каких-либо ограничений, связанных с ее ознакомлением.</w:t>
      </w:r>
    </w:p>
    <w:p>
      <w:pPr>
        <w:pStyle w:val="Style10"/>
        <w:widowControl w:val="0"/>
        <w:keepNext w:val="0"/>
        <w:keepLines w:val="0"/>
        <w:shd w:val="clear" w:color="auto" w:fill="auto"/>
        <w:bidi w:val="0"/>
        <w:spacing w:before="0" w:after="0" w:line="277" w:lineRule="exact"/>
        <w:ind w:left="20" w:right="20" w:firstLine="700"/>
      </w:pPr>
      <w:r>
        <w:rPr>
          <w:lang w:val="ru-RU" w:eastAsia="ru-RU" w:bidi="ru-RU"/>
          <w:w w:val="100"/>
          <w:spacing w:val="0"/>
          <w:color w:val="000000"/>
          <w:position w:val="0"/>
        </w:rPr>
        <w:t>Доказательств, подтверждающих, что проектная-сметная документация размещена в ЕИС не в полном объеме, Заявитель жалобы на обозрение Комиссии не представил.</w:t>
      </w:r>
    </w:p>
    <w:p>
      <w:pPr>
        <w:pStyle w:val="Style10"/>
        <w:widowControl w:val="0"/>
        <w:keepNext w:val="0"/>
        <w:keepLines w:val="0"/>
        <w:shd w:val="clear" w:color="auto" w:fill="auto"/>
        <w:bidi w:val="0"/>
        <w:spacing w:before="0" w:after="0" w:line="277" w:lineRule="exact"/>
        <w:ind w:left="20" w:right="0" w:firstLine="700"/>
      </w:pPr>
      <w:r>
        <w:rPr>
          <w:lang w:val="ru-RU" w:eastAsia="ru-RU" w:bidi="ru-RU"/>
          <w:w w:val="100"/>
          <w:spacing w:val="0"/>
          <w:color w:val="000000"/>
          <w:position w:val="0"/>
        </w:rPr>
        <w:t>Таким образом, в действиях Заказчика отсутствуют нарушения положений Закона.</w:t>
      </w:r>
    </w:p>
    <w:p>
      <w:pPr>
        <w:pStyle w:val="Style10"/>
        <w:widowControl w:val="0"/>
        <w:keepNext w:val="0"/>
        <w:keepLines w:val="0"/>
        <w:shd w:val="clear" w:color="auto" w:fill="auto"/>
        <w:bidi w:val="0"/>
        <w:spacing w:before="0" w:after="243" w:line="277" w:lineRule="exact"/>
        <w:ind w:left="20" w:right="0" w:firstLine="700"/>
      </w:pPr>
      <w:r>
        <w:rPr>
          <w:lang w:val="ru-RU" w:eastAsia="ru-RU" w:bidi="ru-RU"/>
          <w:w w:val="100"/>
          <w:spacing w:val="0"/>
          <w:color w:val="000000"/>
          <w:position w:val="0"/>
        </w:rPr>
        <w:t>Следовательно, довод Заявителя является необоснованным. Иное Заявителем не доказано.</w:t>
      </w:r>
    </w:p>
    <w:p>
      <w:pPr>
        <w:pStyle w:val="Style10"/>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Жалоба ООО «ДЖУЛИ» (ИНН 6671106133 ОГРН: 1206600033837) от 27.01.2021 №171-ж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spacing w:before="0" w:after="163" w:line="274" w:lineRule="exact"/>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7"/>
        <w:widowControl w:val="0"/>
        <w:keepNext/>
        <w:keepLines/>
        <w:shd w:val="clear" w:color="auto" w:fill="auto"/>
        <w:bidi w:val="0"/>
        <w:spacing w:before="0" w:after="146" w:line="220" w:lineRule="exact"/>
        <w:ind w:left="0" w:right="0" w:firstLine="0"/>
      </w:pPr>
      <w:bookmarkStart w:id="1" w:name="bookmark1"/>
      <w:r>
        <w:rPr>
          <w:lang w:val="ru-RU" w:eastAsia="ru-RU" w:bidi="ru-RU"/>
          <w:w w:val="100"/>
          <w:spacing w:val="0"/>
          <w:color w:val="000000"/>
          <w:position w:val="0"/>
        </w:rPr>
        <w:t>РЕШИЛА:</w:t>
      </w:r>
      <w:bookmarkEnd w:id="1"/>
    </w:p>
    <w:p>
      <w:pPr>
        <w:pStyle w:val="Style10"/>
        <w:numPr>
          <w:ilvl w:val="0"/>
          <w:numId w:val="1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Признать жалобу ООО «ДЖУЛИ» (ИНН 6671106133 ОГРН: 1206600033837) от</w:t>
      </w:r>
    </w:p>
    <w:p>
      <w:pPr>
        <w:pStyle w:val="Style10"/>
        <w:numPr>
          <w:ilvl w:val="0"/>
          <w:numId w:val="13"/>
        </w:numPr>
        <w:tabs>
          <w:tab w:leader="none" w:pos="1194" w:val="left"/>
        </w:tabs>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№171-ж на действия Заказчика — Администрация сельского поселения Селиярово, при проведении электронного аукциона предметом, которого является здание гаража по адресу: ХМАО-Югра, Ханты-Мансийский район, с. Селиярово, ул. Колхозная 15. (извещение № 0187300017221000001)необоснованной.</w:t>
      </w:r>
    </w:p>
    <w:p>
      <w:pPr>
        <w:pStyle w:val="Style10"/>
        <w:numPr>
          <w:ilvl w:val="0"/>
          <w:numId w:val="11"/>
        </w:numPr>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 xml:space="preserve"> Обязательное для исполнения предписание не выдавать.</w:t>
      </w:r>
    </w:p>
    <w:p>
      <w:pPr>
        <w:pStyle w:val="Style10"/>
        <w:numPr>
          <w:ilvl w:val="0"/>
          <w:numId w:val="11"/>
        </w:numPr>
        <w:widowControl w:val="0"/>
        <w:keepNext w:val="0"/>
        <w:keepLines w:val="0"/>
        <w:shd w:val="clear" w:color="auto" w:fill="auto"/>
        <w:bidi w:val="0"/>
        <w:spacing w:before="0" w:after="575" w:line="274" w:lineRule="exact"/>
        <w:ind w:left="20" w:right="2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spacing w:before="0" w:after="476" w:line="230" w:lineRule="exact"/>
        <w:ind w:left="2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Члены Комиссии:</w:t>
      </w:r>
    </w:p>
    <w:p>
      <w:pPr>
        <w:pStyle w:val="Style19"/>
        <w:widowControl w:val="0"/>
        <w:keepNext w:val="0"/>
        <w:keepLines w:val="0"/>
        <w:shd w:val="clear" w:color="auto" w:fill="auto"/>
        <w:bidi w:val="0"/>
        <w:spacing w:before="0" w:after="0"/>
        <w:ind w:left="20" w:right="20"/>
      </w:pPr>
      <w:r>
        <w:rPr>
          <w:lang w:val="ru-RU" w:eastAsia="ru-RU" w:bidi="ru-RU"/>
          <w:w w:val="100"/>
          <w:spacing w:val="0"/>
          <w:color w:val="000000"/>
          <w:position w:val="0"/>
        </w:rPr>
        <w:t>Решение</w:t>
      </w:r>
      <w:r>
        <w:rPr>
          <w:rStyle w:val="CharStyle21"/>
          <w:i w:val="0"/>
          <w:iCs w:val="0"/>
        </w:rPr>
        <w:t xml:space="preserve">, </w:t>
      </w:r>
      <w:r>
        <w:rPr>
          <w:lang w:val="ru-RU" w:eastAsia="ru-RU" w:bidi="ru-RU"/>
          <w:w w:val="100"/>
          <w:spacing w:val="0"/>
          <w:color w:val="000000"/>
          <w:position w:val="0"/>
        </w:rPr>
        <w:t>принятое по результатам рассмотрения жалобы по существу, может быть обжаловано в судебном порядке в течение трех месяцев с даты принятия</w:t>
      </w:r>
    </w:p>
    <w:sectPr>
      <w:type w:val="continuous"/>
      <w:pgSz w:w="11906" w:h="16838"/>
      <w:pgMar w:top="656" w:left="840" w:right="799" w:bottom="98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7.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21"/>
      <w:numFmt w:val="decimal"/>
      <w:lvlText w:val="27.0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Times New Roman" w:eastAsia="Times New Roman" w:hAnsi="Times New Roman" w:cs="Times New Roman"/>
    </w:rPr>
  </w:style>
  <w:style w:type="character" w:customStyle="1" w:styleId="CharStyle12">
    <w:name w:val="Основной текст + Calibri,12 pt,Курсив,Интервал -1 pt"/>
    <w:basedOn w:val="CharStyle11"/>
    <w:rPr>
      <w:lang w:val="en-US" w:eastAsia="en-US" w:bidi="en-US"/>
      <w:i/>
      <w:iCs/>
      <w:sz w:val="24"/>
      <w:szCs w:val="24"/>
      <w:rFonts w:ascii="Calibri" w:eastAsia="Calibri" w:hAnsi="Calibri" w:cs="Calibri"/>
      <w:w w:val="100"/>
      <w:spacing w:val="-20"/>
      <w:color w:val="000000"/>
      <w:position w:val="0"/>
    </w:rPr>
  </w:style>
  <w:style w:type="character" w:customStyle="1" w:styleId="CharStyle13">
    <w:name w:val="Основной текст + Calibri,12 pt,Курсив,Интервал -1 pt"/>
    <w:basedOn w:val="CharStyle11"/>
    <w:rPr>
      <w:lang w:val="ru-RU" w:eastAsia="ru-RU" w:bidi="ru-RU"/>
      <w:i/>
      <w:iCs/>
      <w:sz w:val="24"/>
      <w:szCs w:val="24"/>
      <w:rFonts w:ascii="Calibri" w:eastAsia="Calibri" w:hAnsi="Calibri" w:cs="Calibri"/>
      <w:w w:val="100"/>
      <w:spacing w:val="-20"/>
      <w:color w:val="000000"/>
      <w:position w:val="0"/>
    </w:rPr>
  </w:style>
  <w:style w:type="character" w:customStyle="1" w:styleId="CharStyle14">
    <w:name w:val="Основной текст"/>
    <w:basedOn w:val="CharStyle11"/>
    <w:rPr>
      <w:lang w:val="1024"/>
      <w:w w:val="100"/>
      <w:spacing w:val="0"/>
      <w:color w:val="000000"/>
      <w:position w:val="0"/>
    </w:rPr>
  </w:style>
  <w:style w:type="character" w:customStyle="1" w:styleId="CharStyle15">
    <w:name w:val="Основной текст + 11 pt,Полужирный"/>
    <w:basedOn w:val="CharStyle11"/>
    <w:rPr>
      <w:lang w:val="ru-RU" w:eastAsia="ru-RU" w:bidi="ru-RU"/>
      <w:b/>
      <w:bCs/>
      <w:sz w:val="22"/>
      <w:szCs w:val="22"/>
      <w:w w:val="100"/>
      <w:spacing w:val="0"/>
      <w:color w:val="000000"/>
      <w:position w:val="0"/>
    </w:rPr>
  </w:style>
  <w:style w:type="character" w:customStyle="1" w:styleId="CharStyle16">
    <w:name w:val="Основной текст"/>
    <w:basedOn w:val="CharStyle11"/>
    <w:rPr>
      <w:lang w:val="en-US" w:eastAsia="en-US" w:bidi="en-US"/>
      <w:u w:val="single"/>
      <w:w w:val="100"/>
      <w:spacing w:val="0"/>
      <w:color w:val="000000"/>
      <w:position w:val="0"/>
    </w:rPr>
  </w:style>
  <w:style w:type="character" w:customStyle="1" w:styleId="CharStyle18">
    <w:name w:val="Заголовок №2_"/>
    <w:basedOn w:val="DefaultParagraphFont"/>
    <w:link w:val="Style17"/>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4)_"/>
    <w:basedOn w:val="DefaultParagraphFont"/>
    <w:link w:val="Style19"/>
    <w:rPr>
      <w:b w:val="0"/>
      <w:bCs w:val="0"/>
      <w:i/>
      <w:iCs/>
      <w:u w:val="none"/>
      <w:strike w:val="0"/>
      <w:smallCaps w:val="0"/>
      <w:sz w:val="16"/>
      <w:szCs w:val="16"/>
      <w:rFonts w:ascii="Times New Roman" w:eastAsia="Times New Roman" w:hAnsi="Times New Roman" w:cs="Times New Roman"/>
    </w:rPr>
  </w:style>
  <w:style w:type="character" w:customStyle="1" w:styleId="CharStyle21">
    <w:name w:val="Основной текст (4) + 10,5 pt,Полужирный,Не курсив"/>
    <w:basedOn w:val="CharStyle20"/>
    <w:rPr>
      <w:lang w:val="ru-RU" w:eastAsia="ru-RU" w:bidi="ru-RU"/>
      <w:b/>
      <w:bCs/>
      <w:i/>
      <w:iCs/>
      <w:sz w:val="21"/>
      <w:szCs w:val="21"/>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20" w:line="28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120" w:after="1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80" w:line="23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18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center"/>
      <w:outlineLvl w:val="1"/>
      <w:spacing w:before="12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both"/>
      <w:spacing w:line="176" w:lineRule="exact"/>
      <w:ind w:firstLine="700"/>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