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15" w:left="2679" w:right="8252" w:bottom="74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16" w:lineRule="exact"/>
        <w:rPr>
          <w:sz w:val="17"/>
          <w:szCs w:val="17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63" w:line="259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Волгоградской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59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7-я Гвардейская, д. 12, Волгоград, 400005 тел. (8442) 24-22-65, факс (8442) 24-22-76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"mailto:to34@fas.gov.ru"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to34@fas.gov.ru</w:t>
      </w:r>
      <w:r>
        <w:fldChar w:fldCharType="end"/>
      </w:r>
    </w:p>
    <w:p>
      <w:pPr>
        <w:pStyle w:val="Style7"/>
        <w:tabs>
          <w:tab w:leader="none" w:pos="2040" w:val="center"/>
        </w:tabs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«Акцент»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Садовая Б., д. № 3, стр. 7, пом. 1. Ком. № 14, Москва, 123001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0"/>
        <w:ind w:left="20" w:right="0" w:firstLine="0"/>
      </w:pPr>
      <w:r>
        <w:fldChar w:fldCharType="begin"/>
      </w:r>
      <w:r>
        <w:rPr>
          <w:color w:val="000000"/>
        </w:rPr>
        <w:instrText> HYPERLINK "mailto:ooo.aksent@gmail.com"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ooo.aksent@gmail.com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243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ГБУЗ «Волгоградский областной клинический онкологический диспансер» ул. им. Землячки, д. 78, Волгоград, 400138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onkod_l </w:t>
      </w:r>
      <w:r>
        <w:fldChar w:fldCharType="begin"/>
      </w:r>
      <w:r>
        <w:rPr>
          <w:color w:val="000000"/>
        </w:rPr>
        <w:instrText> HYPERLINK "mailto:l@mail.ru"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l@mail.ru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Уполномоченный орган: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Комитет по регулированию контрактной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системы в сфере закупок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Волгоградской области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Новороссийская, д. 15, Волгоград, 400138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  <w:sectPr>
          <w:type w:val="continuous"/>
          <w:pgSz w:w="11906" w:h="16838"/>
          <w:pgMar w:top="715" w:left="1224" w:right="1238" w:bottom="744" w:header="0" w:footer="3" w:gutter="0"/>
          <w:rtlGutter w:val="0"/>
          <w:cols w:num="2" w:space="720" w:equalWidth="0">
            <w:col w:w="3989" w:space="644"/>
            <w:col w:w="4810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"mailto:goszakaz@volganet.ru"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goszakaz@volganet.ru</w:t>
      </w:r>
      <w:r>
        <w:fldChar w:fldCharType="end"/>
      </w:r>
    </w:p>
    <w:p>
      <w:pPr>
        <w:widowControl w:val="0"/>
        <w:spacing w:before="19" w:after="1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5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45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АО «ЭТС»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580" w:line="274" w:lineRule="exact"/>
        <w:ind w:left="4540" w:right="10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ул. Тестовская, д. 10, Москва, 123112 </w:t>
      </w:r>
      <w:r>
        <w:fldChar w:fldCharType="begin"/>
      </w:r>
      <w:r>
        <w:rPr>
          <w:color w:val="000000"/>
        </w:rPr>
        <w:instrText> HYPERLINK "mailto:auditors@etpz.ru"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auditors@etpz.ru</w:t>
      </w:r>
      <w:r>
        <w:fldChar w:fldCharType="end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287" w:line="299" w:lineRule="exact"/>
        <w:ind w:left="4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по делу № 034/06/105-71/2021 о нарушении законодательства о контрактной системе</w:t>
      </w:r>
    </w:p>
    <w:p>
      <w:pPr>
        <w:pStyle w:val="Style11"/>
        <w:tabs>
          <w:tab w:leader="none" w:pos="930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3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3 февраля 2021 года</w:t>
        <w:tab/>
        <w:t>Волгоград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2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Управления Федеральной антимонопольной службы по Волгоградской области (далее - Волгоградское У ФАС России, Управление) по контролю за соблюдением законодательства о контрактной системе в составе: Лучникова Р.В. - председателя Комиссии, руководителя Управления; Литвинова Р. А. - члена Комиссии, начальника отдела контроля государственных и муниципальных закупок, недобросовестной конкуренции и рекламы;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42" w:lineRule="exact"/>
        <w:ind w:left="720" w:right="40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Слащёвой М.Л. - члена Комиссии, помощника руководителя Управления, при участии: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2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Язлиевой Р.Я. - представителя ООО «Акцент» на основании доверенности от 28.01.2021 №3;</w:t>
      </w:r>
      <w:r>
        <w:br w:type="page"/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60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Курочкина А.С. - представителя ООО «Акцент» на основании доверенности от 28.01.2021 №4;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53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Коваленко Н.В. - главного врача ГБУЗ «Волгоградский областной клинический онкологический диспансер» на основании приказа от 28.06.2017 № 14-03-330;</w:t>
      </w:r>
    </w:p>
    <w:p>
      <w:pPr>
        <w:pStyle w:val="Style11"/>
        <w:tabs>
          <w:tab w:leader="none" w:pos="2282" w:val="left"/>
          <w:tab w:leader="none" w:pos="2865" w:val="left"/>
          <w:tab w:leader="none" w:pos="3318" w:val="left"/>
          <w:tab w:leader="none" w:pos="5590" w:val="center"/>
          <w:tab w:leader="none" w:pos="7052" w:val="center"/>
          <w:tab w:leader="none" w:pos="93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Ковалевой</w:t>
        <w:tab/>
        <w:t>Е.В.</w:t>
        <w:tab/>
        <w:t>-</w:t>
        <w:tab/>
        <w:t>представителя</w:t>
        <w:tab/>
        <w:t>ГБУЗ</w:t>
        <w:tab/>
        <w:t>«Волгоградский</w:t>
        <w:tab/>
        <w:t>областной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клинический онкологический диспансер» на основании доверенности от 21.01.2019 № 237;</w:t>
      </w:r>
    </w:p>
    <w:p>
      <w:pPr>
        <w:pStyle w:val="Style11"/>
        <w:tabs>
          <w:tab w:leader="none" w:pos="2282" w:val="left"/>
          <w:tab w:leader="none" w:pos="2865" w:val="left"/>
          <w:tab w:leader="none" w:pos="3318" w:val="left"/>
          <w:tab w:leader="none" w:pos="5590" w:val="center"/>
          <w:tab w:leader="none" w:pos="7052" w:val="center"/>
          <w:tab w:leader="none" w:pos="93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Гужвиной</w:t>
        <w:tab/>
        <w:t>О.В.</w:t>
        <w:tab/>
        <w:t>-</w:t>
        <w:tab/>
        <w:t>представителя</w:t>
        <w:tab/>
        <w:t>ГБУЗ</w:t>
        <w:tab/>
        <w:t>«Волгоградский</w:t>
        <w:tab/>
        <w:t>областной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клинический онкологический диспансер» на основании доверенности от 02.02.2021 № 237;</w:t>
      </w:r>
    </w:p>
    <w:p>
      <w:pPr>
        <w:pStyle w:val="Style11"/>
        <w:tabs>
          <w:tab w:leader="none" w:pos="2282" w:val="left"/>
          <w:tab w:leader="none" w:pos="2884" w:val="left"/>
          <w:tab w:leader="none" w:pos="3318" w:val="left"/>
          <w:tab w:leader="none" w:pos="5590" w:val="center"/>
          <w:tab w:leader="none" w:pos="7052" w:val="center"/>
          <w:tab w:leader="none" w:pos="937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Крыхтиной</w:t>
        <w:tab/>
        <w:t>Е.В.</w:t>
        <w:tab/>
        <w:t>-</w:t>
        <w:tab/>
        <w:t>представителя</w:t>
        <w:tab/>
        <w:t>ГБУЗ</w:t>
        <w:tab/>
        <w:t>«Волгоградский</w:t>
        <w:tab/>
        <w:t>областной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клинический онкологический диспансер» на основании доверенности от 12.01.2021 №52;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Недохлебова В.В. - представителя комитета по регулированию контрактной системы в сфере закупок на основании доверенности от 08.11.2019 № 12,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385" w:line="346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рассмотрев жалобу ООО «Акцент» вх. № 825 от 29.01.2021 на действия аукционной комиссии при проведении закупки «Поставка комплекса систем телемедицины» (номер извещения 0129200005320002316),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342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УСТАНОВИЛА: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Волгоградское УФАС России поступила жалоба ООО «Акцент» вх. № 825 от 29.01.2021 на действия аукционной комиссии при проведении закупки «Поставка комплекса систем телемедицины» (номер извещения 0129200005320002316).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Изучив доводы сторон, ознакомившись с представленными документами и проведя внеплановую проверку в соответствии с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Комиссия пришла к следующим выводам.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(далее - ЕИС) 29.12.2020 были размещены извещение и документация о проведении аукциона в электронной форме «Поставка комплекса систем телемедицины» (номер извещения 0129200005320002316). Заказчик - ГБУЗ «Волгоградский областной клинический онкологический диспансер» (далее - Заказчик). Начальная (максимальная) цена контракта - 27 340 890,34 рублей.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40" w:right="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участие в закупке подано 2 заявки. По результатам рассмотрения первых частей заявок на участие в закупке обе заявки признаны соответствующими требованиям документации об аукционе в электронной форме. По результатам проведения аукциона лучшее предложение о цене контракта подано ООО «Акцент», снижение начальной (максимальной) цены составило 2%. По результатам рассмотрения вторых частей заявок на участие в закупке заявка № 1 (заявка ООО «Акцент» - согласно информации, размещенной в ЕИС, ООО «Акцент» исполнен 61 контракт, в том числе на поставку медицинского оборудования и медицинских изделий, 20 контрактов находятся в стадии исполнения) признана несоответствующей требованиям аукционной документации на основании п. 1 ч. 6 ст. 69 Закона о контрактной системе, а также указанный участник отстранен от участия в электронном аукционе на основании ч. 6.1 ст. 66 Закона о контрактной системе. В соответствии с ч. 13 ст. 69 Закона о контрактной системе электронный аукцион признан несостоявшимся.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доводу жалобы аукционной комиссией по определению поставщиков (подрядчиков, исполнителей) для заказчика Волгоградской области (далее - Аукционная комиссия) нарушены положения Закона о контрактной системе при рассмотрении заявок на участие в электронном аукционе.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6.1 ст. 66 Закона о контрактной системе в случае установления недостоверности информации, содержащейся в документах, представленных участником электронного аукциона в соответствии с ч.ч. 3, 5, 8.2 ст. 66 Закона о контрактной системе, аукционная комиссия обязана отстранить такого участника от участия в электронном аукционе на любом этапе его проведения.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6 ст.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непредставления документов и информации, которые предусмотрены ч. 11 ст. 24.1, ч.ч. 3 или 3.1, 5, 8.2 ст. 66 Закона о контрактной системе,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аукционе;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несоответствия участника такого аукциона требованиям, установленным в соответствии с ч. 1, ч.ч. 1.1, 2 и 2.1 (при наличии таких требований) ст. 31 Закона о контрактной системе;</w:t>
      </w:r>
    </w:p>
    <w:p>
      <w:pPr>
        <w:pStyle w:val="Style11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предусмотренном нормативными правовыми актами, принятыми в соответствии со ст. 14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7 ст. 69 Закона о контрактной системе 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ч. 6 ст. 69 Закона о контрактной системе, не допускается.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2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протоколом подведения итогов электронного аукциона (номер извещения 0129200005320002316) от 22.01.2021 № 21-196.3ЭА (далее - Протокол) заявка ООО «Акцент» в связи с предоставлением недостоверной информации признана несоответствующей требованиям аукционной документации, а именно п. 3.2.7 Раздела 1 «Общие положения» документации электронного аукциона, согласно которому заявка должна содержать только достоверные сведения, на основании п. 1 ч. 6 ст. 69 Закона о контрактной системе, а также ООО «Акцент» отстранено от участия в аукционе в связи с предоставлением недостоверной информации на основании ч. 6.1 ст. 66 Закона о контрактной системе.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При принятии указанного решения и установления недостоверности информации, содержащейся в заявке ООО «Акцент», Аукционная комиссия исходила из положений Руководства пользователя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OpenOR over IP/Open OR Classic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(далее </w:t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-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Руководство пользователя), предоставленного Заказчику третьим лицом.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у Аукционной комиссии отсутствовала достоверная информация о характеристиках предлагаемой ООО «Акцент» системе управления операционной. Следовательно, у Аукционной комиссии отсутствовали основания полагать, что информация, предоставленная ООО «Акцент» в составе заявки на участие в закупке, является недостоверной.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Также из положений Руководства пользователя, на которые ссылается Аукционная комиссия в обоснование принятого решения, явно не следует, что предлагаемая ООО «Акцент» система управления операционной не соответствует требованиям, установленным в аукционной документации, и что информация, предоставленная ООО «Акцент» в составе заявки на участие в закупке, является недостоверной.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Из вышеизложенного следует, что безусловные доказательства, свидетельствующие о предоставлении ООО «Акцент» в заявке на участие в закупки недостоверной информации, отсутствуют.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Таким образом, Аукционной комиссией нарушены ч. 6.1 ст. 66, п. 1 ч. 6 ст. 69, ч. 7 ст. 69 Закона о контрактной системе. Кроме того, заявка ООО «Акцент» признана Аукционной комиссией несоответствующей требованиям аукционной документации, а также ООО «Акцент» отстранено от участия в аукционе в отсутствие правовых оснований. Следовательно, довод жалобы нашел свое подтверждение и является обоснованным.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both"/>
        <w:spacing w:before="0" w:after="385" w:line="34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всего вышеизложенного, изучив все представленные документы, а также сведения (информацию), размещенные на официальном сайте Российской Федерации в сети Интернет для размещения информации о размещении заказов на поставки товаров, выполнение работ, оказания услуг для федеральных нужд, нужд субъектов Российской Федерации или муниципальных нужд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 xml:space="preserve">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center"/>
        <w:spacing w:before="0" w:after="336" w:line="240" w:lineRule="exact"/>
        <w:ind w:left="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РЕШИЛА:</w:t>
      </w:r>
    </w:p>
    <w:p>
      <w:pPr>
        <w:pStyle w:val="Style11"/>
        <w:numPr>
          <w:ilvl w:val="0"/>
          <w:numId w:val="3"/>
        </w:numPr>
        <w:tabs>
          <w:tab w:leader="none" w:pos="108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40" w:right="2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Признать жалобу ООО «Акцент» вх. № 825 от 29.01.2021 на действия аукционной комиссии при проведении закупки «Поставка комплекса систем телемедицины» (номер извещения 0129200005320002316) обоснованной.</w:t>
      </w:r>
      <w:r>
        <w:br w:type="page"/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Признать в действиях Аукционной комиссии нарушения ч. 6.1 ст. 66, п. 1 ч. 6 ст. 69, ч. 7 ст.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Выдать Аукционной комиссии, Уполномоченному органу, Оператору электронной площадки, Заказчику обязательное для исполнения предписание об устранении выявленных нарушений законодательства о контрактной системе.</w:t>
      </w:r>
    </w:p>
    <w:p>
      <w:pPr>
        <w:pStyle w:val="Style11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20" w:firstLine="720"/>
        <w:sectPr>
          <w:type w:val="continuous"/>
          <w:pgSz w:w="11906" w:h="16838"/>
          <w:pgMar w:top="1238" w:left="1284" w:right="1237" w:bottom="9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Передать материалы дела уполномоченному должностному лицу для рассмотрения вопроса о возбуждении дел об административном правонарушении в соответствии с Кодексом Российской Федерации об административных правонарушениях в отношении членов Единой комиссии.</w:t>
      </w:r>
    </w:p>
    <w:p>
      <w:pPr>
        <w:pStyle w:val="Style11"/>
        <w:framePr w:w="1814" w:h="1605" w:wrap="none" w:vAnchor="text" w:hAnchor="margin" w:x="7639" w:y="436"/>
        <w:widowControl w:val="0"/>
        <w:keepNext w:val="0"/>
        <w:keepLines w:val="0"/>
        <w:shd w:val="clear" w:color="auto" w:fill="auto"/>
        <w:bidi w:val="0"/>
        <w:jc w:val="left"/>
        <w:spacing w:before="0" w:after="426" w:line="230" w:lineRule="exact"/>
        <w:ind w:left="100" w:right="0" w:firstLine="0"/>
      </w:pPr>
      <w:r>
        <w:rPr>
          <w:rStyle w:val="CharStyle13"/>
          <w:spacing w:val="0"/>
        </w:rPr>
        <w:t>Р.В. Лучников</w:t>
      </w:r>
    </w:p>
    <w:p>
      <w:pPr>
        <w:pStyle w:val="Style11"/>
        <w:framePr w:w="1814" w:h="1605" w:wrap="none" w:vAnchor="text" w:hAnchor="margin" w:x="7639" w:y="436"/>
        <w:widowControl w:val="0"/>
        <w:keepNext w:val="0"/>
        <w:keepLines w:val="0"/>
        <w:shd w:val="clear" w:color="auto" w:fill="auto"/>
        <w:bidi w:val="0"/>
        <w:jc w:val="left"/>
        <w:spacing w:before="0" w:after="430" w:line="230" w:lineRule="exact"/>
        <w:ind w:left="100" w:right="0" w:firstLine="0"/>
      </w:pPr>
      <w:r>
        <w:rPr>
          <w:rStyle w:val="CharStyle13"/>
          <w:spacing w:val="0"/>
        </w:rPr>
        <w:t>Р.А. Литвинов</w:t>
      </w:r>
    </w:p>
    <w:p>
      <w:pPr>
        <w:pStyle w:val="Style11"/>
        <w:framePr w:w="1814" w:h="1605" w:wrap="none" w:vAnchor="text" w:hAnchor="margin" w:x="7639" w:y="43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М.Л. Слащёва</w:t>
      </w:r>
    </w:p>
    <w:p>
      <w:pPr>
        <w:pStyle w:val="Style11"/>
        <w:framePr w:w="2887" w:h="242" w:wrap="none" w:vAnchor="text" w:hAnchor="margin" w:x="35" w:y="44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Председатель Комиссии</w:t>
      </w:r>
    </w:p>
    <w:p>
      <w:pPr>
        <w:pStyle w:val="Style11"/>
        <w:framePr w:w="2102" w:h="230" w:wrap="none" w:vAnchor="text" w:hAnchor="margin" w:x="35" w:y="1124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3"/>
          <w:spacing w:val="0"/>
        </w:rPr>
        <w:t>Члены Комиссии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636" w:lineRule="exact"/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906" w:left="1089" w:right="1089" w:bottom="906" w:header="0" w:footer="3" w:gutter="0"/>
          <w:rtlGutter w:val="0"/>
          <w:cols w:space="720"/>
          <w:noEndnote/>
          <w:docGrid w:linePitch="360"/>
        </w:sectPr>
      </w:pPr>
    </w:p>
    <w:p>
      <w:pPr>
        <w:pStyle w:val="Style11"/>
        <w:widowControl w:val="0"/>
        <w:keepNext w:val="0"/>
        <w:keepLines w:val="0"/>
        <w:shd w:val="clear" w:color="auto" w:fill="auto"/>
        <w:bidi w:val="0"/>
        <w:jc w:val="left"/>
        <w:spacing w:before="0" w:after="6395" w:line="342" w:lineRule="exact"/>
        <w:ind w:left="0" w:right="24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и предписание Комиссии может быть обжаловано в Арбитражный суд Волгоградской области в течение трех месяцев со дня его принятия.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23" w:lineRule="exact"/>
        <w:ind w:left="0" w:right="830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Слащёва М.Л. (8442) 24 22 64</w:t>
      </w:r>
      <w:r>
        <w:br w:type="page"/>
      </w:r>
    </w:p>
    <w:sectPr>
      <w:type w:val="continuous"/>
      <w:pgSz w:w="11906" w:h="16838"/>
      <w:pgMar w:top="1071" w:left="1175" w:right="1143" w:bottom="59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2">
    <w:name w:val="Основной текст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2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52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120" w:after="600" w:line="205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both"/>
      <w:spacing w:before="600"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FFFFFF"/>
      <w:spacing w:line="27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