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numPr>
          <w:ilvl w:val="0"/>
          <w:numId w:val="1"/>
        </w:numPr>
        <w:widowControl w:val="0"/>
        <w:keepNext w:val="0"/>
        <w:keepLines w:val="0"/>
        <w:shd w:val="clear" w:color="auto" w:fill="auto"/>
        <w:bidi w:val="0"/>
        <w:spacing w:before="0" w:after="0"/>
        <w:ind w:left="4840" w:right="0" w:firstLine="0"/>
      </w:pPr>
      <w:r>
        <w:rPr>
          <w:lang w:val="ru-RU" w:eastAsia="ru-RU" w:bidi="ru-RU"/>
          <w:w w:val="100"/>
          <w:spacing w:val="0"/>
          <w:color w:val="000000"/>
          <w:position w:val="0"/>
        </w:rPr>
        <w:t xml:space="preserve"> ГБУЗ «ГП № 107 ДЗМ»</w:t>
      </w:r>
    </w:p>
    <w:p>
      <w:pPr>
        <w:pStyle w:val="Style5"/>
        <w:widowControl w:val="0"/>
        <w:keepNext w:val="0"/>
        <w:keepLines w:val="0"/>
        <w:shd w:val="clear" w:color="auto" w:fill="auto"/>
        <w:bidi w:val="0"/>
        <w:spacing w:before="0" w:after="0"/>
        <w:ind w:left="4840" w:right="0" w:firstLine="0"/>
      </w:pPr>
      <w:r>
        <w:rPr>
          <w:lang w:val="ru-RU" w:eastAsia="ru-RU" w:bidi="ru-RU"/>
          <w:w w:val="100"/>
          <w:spacing w:val="0"/>
          <w:color w:val="000000"/>
          <w:position w:val="0"/>
        </w:rPr>
        <w:t>ул. Декабристов, д. 24, г. Москва, 127273</w:t>
      </w:r>
    </w:p>
    <w:p>
      <w:pPr>
        <w:pStyle w:val="Style5"/>
        <w:numPr>
          <w:ilvl w:val="0"/>
          <w:numId w:val="1"/>
        </w:numPr>
        <w:widowControl w:val="0"/>
        <w:keepNext w:val="0"/>
        <w:keepLines w:val="0"/>
        <w:shd w:val="clear" w:color="auto" w:fill="auto"/>
        <w:bidi w:val="0"/>
        <w:spacing w:before="0" w:after="0"/>
        <w:ind w:left="4840" w:right="0" w:firstLine="0"/>
      </w:pPr>
      <w:r>
        <w:rPr>
          <w:lang w:val="ru-RU" w:eastAsia="ru-RU" w:bidi="ru-RU"/>
          <w:w w:val="100"/>
          <w:spacing w:val="0"/>
          <w:color w:val="000000"/>
          <w:position w:val="0"/>
        </w:rPr>
        <w:t xml:space="preserve"> ООО «Интеллект групп»</w:t>
      </w:r>
    </w:p>
    <w:p>
      <w:pPr>
        <w:pStyle w:val="Style5"/>
        <w:widowControl w:val="0"/>
        <w:keepNext w:val="0"/>
        <w:keepLines w:val="0"/>
        <w:shd w:val="clear" w:color="auto" w:fill="auto"/>
        <w:bidi w:val="0"/>
        <w:spacing w:before="0" w:after="2220" w:line="322" w:lineRule="exact"/>
        <w:ind w:left="4840" w:right="20" w:firstLine="0"/>
      </w:pPr>
      <w:r>
        <w:rPr>
          <w:lang w:val="ru-RU" w:eastAsia="ru-RU" w:bidi="ru-RU"/>
          <w:w w:val="100"/>
          <w:spacing w:val="0"/>
          <w:color w:val="000000"/>
          <w:position w:val="0"/>
        </w:rPr>
        <w:t>Космодамианская наб., д. 40-42, стр. 3, эт. 1, пом. ТАРП ЦАО, г. Москва, 115035</w:t>
      </w:r>
    </w:p>
    <w:p>
      <w:pPr>
        <w:pStyle w:val="Style7"/>
        <w:tabs>
          <w:tab w:leader="none" w:pos="10148" w:val="righ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РЕШЕНИЕ по делу № 077/06/106-1546/2021 о нарушении законодательства о контрактной системе 03.02.2021</w:t>
        <w:tab/>
        <w:t>Москва</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(далее - Комиссия Управления) в составе:</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spacing w:before="0" w:after="0" w:line="322" w:lineRule="exact"/>
        <w:ind w:left="20" w:right="0" w:firstLine="720"/>
      </w:pPr>
      <w:r>
        <w:rPr>
          <w:lang w:val="ru-RU" w:eastAsia="ru-RU" w:bidi="ru-RU"/>
          <w:w w:val="100"/>
          <w:spacing w:val="0"/>
          <w:color w:val="000000"/>
          <w:position w:val="0"/>
        </w:rPr>
        <w:t>Члены Комиссии:</w:t>
      </w:r>
    </w:p>
    <w:p>
      <w:pPr>
        <w:pStyle w:val="Style5"/>
        <w:widowControl w:val="0"/>
        <w:keepNext w:val="0"/>
        <w:keepLines w:val="0"/>
        <w:shd w:val="clear" w:color="auto" w:fill="auto"/>
        <w:bidi w:val="0"/>
        <w:spacing w:before="0" w:after="0" w:line="322" w:lineRule="exact"/>
        <w:ind w:left="20" w:right="0" w:firstLine="720"/>
      </w:pPr>
      <w:r>
        <w:rPr>
          <w:lang w:val="ru-RU" w:eastAsia="ru-RU" w:bidi="ru-RU"/>
          <w:w w:val="100"/>
          <w:spacing w:val="0"/>
          <w:color w:val="000000"/>
          <w:position w:val="0"/>
        </w:rPr>
        <w:t>Специалиста-эксперта отдела обжалования государственных закупок</w:t>
      </w:r>
    </w:p>
    <w:p>
      <w:pPr>
        <w:pStyle w:val="Style5"/>
        <w:tabs>
          <w:tab w:leader="none" w:pos="606" w:val="lef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Н.С. Лушниковой,</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Специалиста-эксперта отдела обжалования государственных закупок В.А. Матвеева,</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spacing w:before="0" w:after="0" w:line="322" w:lineRule="exact"/>
        <w:ind w:left="20" w:right="0" w:firstLine="720"/>
      </w:pPr>
      <w:r>
        <w:rPr>
          <w:lang w:val="ru-RU" w:eastAsia="ru-RU" w:bidi="ru-RU"/>
          <w:w w:val="100"/>
          <w:spacing w:val="0"/>
          <w:color w:val="000000"/>
          <w:position w:val="0"/>
        </w:rPr>
        <w:t>при участии представителя ГБУЗ «ГП № 107 ДЗМ»,</w:t>
      </w:r>
    </w:p>
    <w:p>
      <w:pPr>
        <w:pStyle w:val="Style5"/>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представители ООО «Интеллект групп», о времени и порядке заседания Комиссии уведомлены письмом Московского УФАС России исх. №ЕИ/5019/21 от 29.01.2021, в рассмотрении жалобы не участвовали,</w:t>
      </w:r>
    </w:p>
    <w:p>
      <w:pPr>
        <w:pStyle w:val="Style5"/>
        <w:tabs>
          <w:tab w:leader="none" w:pos="7489" w:val="left"/>
        </w:tabs>
        <w:widowControl w:val="0"/>
        <w:keepNext w:val="0"/>
        <w:keepLines w:val="0"/>
        <w:shd w:val="clear" w:color="auto" w:fill="auto"/>
        <w:bidi w:val="0"/>
        <w:spacing w:before="0" w:after="0" w:line="322" w:lineRule="exact"/>
        <w:ind w:left="20" w:right="20" w:firstLine="720"/>
      </w:pPr>
      <w:r>
        <w:rPr>
          <w:lang w:val="ru-RU" w:eastAsia="ru-RU" w:bidi="ru-RU"/>
          <w:w w:val="100"/>
          <w:spacing w:val="0"/>
          <w:color w:val="000000"/>
          <w:position w:val="0"/>
        </w:rPr>
        <w:t>рассмотрев жалобу ООО «Интеллект групп» (далее — Заявитель) на действия ГБУЗ «ГП № 107 ДЗМ» (далее-Заказчик) при проведении электронного аукциона на право заключения государственного контракта на поставку полиграфической продукции в 2021 году для нужд ГБУЗ «ГП №</w:t>
        <w:tab/>
        <w:t>107 ДЗМ» (Закупка</w:t>
      </w:r>
    </w:p>
    <w:p>
      <w:pPr>
        <w:pStyle w:val="Style3"/>
        <w:framePr w:w="1349" w:h="427" w:wrap="around" w:vAnchor="text" w:hAnchor="margin" w:x="351" w:y="668"/>
        <w:widowControl w:val="0"/>
        <w:keepNext w:val="0"/>
        <w:keepLines w:val="0"/>
        <w:shd w:val="clear" w:color="auto" w:fill="auto"/>
        <w:bidi w:val="0"/>
        <w:jc w:val="left"/>
        <w:spacing w:before="0" w:after="0" w:line="240" w:lineRule="auto"/>
        <w:ind w:left="0" w:right="0" w:firstLine="0"/>
      </w:pPr>
      <w:r>
        <w:rPr>
          <w:w w:val="100"/>
          <w:spacing w:val="0"/>
          <w:color w:val="000000"/>
          <w:position w:val="0"/>
        </w:rPr>
        <w:t>000002603186</w:t>
      </w:r>
    </w:p>
    <w:p>
      <w:pPr>
        <w:pStyle w:val="Style5"/>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 0373200062921000005) (далее - аукцион), в соответствии с Федеральным</w:t>
      </w:r>
      <w:r>
        <w:br w:type="page"/>
      </w:r>
    </w:p>
    <w:p>
      <w:pPr>
        <w:pStyle w:val="Style5"/>
        <w:widowControl w:val="0"/>
        <w:keepNext w:val="0"/>
        <w:keepLines w:val="0"/>
        <w:shd w:val="clear" w:color="auto" w:fill="auto"/>
        <w:bidi w:val="0"/>
        <w:spacing w:before="0" w:after="349" w:line="322" w:lineRule="exact"/>
        <w:ind w:left="20" w:right="20" w:firstLine="0"/>
      </w:pPr>
      <w:r>
        <w:rPr>
          <w:lang w:val="ru-RU" w:eastAsia="ru-RU" w:bidi="ru-RU"/>
          <w:w w:val="100"/>
          <w:spacing w:val="0"/>
          <w:color w:val="000000"/>
          <w:position w:val="0"/>
        </w:rPr>
        <w:t>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(далее — Административный регламент),</w:t>
      </w:r>
    </w:p>
    <w:p>
      <w:pPr>
        <w:pStyle w:val="Style9"/>
        <w:widowControl w:val="0"/>
        <w:keepNext/>
        <w:keepLines/>
        <w:shd w:val="clear" w:color="auto" w:fill="auto"/>
        <w:bidi w:val="0"/>
        <w:spacing w:before="0" w:after="308"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Заявитель обжалует действия Заказчика, выразившиеся в утверждении аукционной документации в нарушение норм Закона о контрактной системе.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от 29.01.2021 № ЕИ/5019/21, Комиссия Управления установила следующее.</w:t>
      </w:r>
    </w:p>
    <w:p>
      <w:pPr>
        <w:pStyle w:val="Style5"/>
        <w:tabs>
          <w:tab w:leader="none" w:pos="3640" w:val="left"/>
        </w:tabs>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На основании пп. 1-2</w:t>
        <w:tab/>
        <w:t>ч. 1 ст. 64 Закона о контрактной системе документация</w:t>
      </w:r>
    </w:p>
    <w:p>
      <w:pPr>
        <w:pStyle w:val="Style5"/>
        <w:tabs>
          <w:tab w:leader="none" w:pos="3567" w:val="right"/>
          <w:tab w:leader="none" w:pos="3712" w:val="left"/>
          <w:tab w:leader="none" w:pos="9991" w:val="right"/>
          <w:tab w:leader="none" w:pos="10191" w:val="righ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об</w:t>
        <w:tab/>
        <w:t>электронном аукционе</w:t>
        <w:tab/>
        <w:t>наряду с информацией, указанной</w:t>
        <w:tab/>
        <w:t>в извещении</w:t>
        <w:tab/>
        <w:t>о</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проведении такого аукциона, должна содержать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 а также требования к содержанию, составу заявки на участие в таком аукционе в соответствии с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tabs>
          <w:tab w:leader="none" w:pos="3640" w:val="left"/>
          <w:tab w:leader="none" w:pos="9991" w:val="right"/>
          <w:tab w:leader="none" w:pos="10191" w:val="right"/>
        </w:tabs>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В соответствии с ч.2</w:t>
        <w:tab/>
        <w:t>ст.33 Закона о контрактной системе</w:t>
        <w:tab/>
        <w:t>документация</w:t>
        <w:tab/>
        <w:t>о</w:t>
      </w:r>
    </w:p>
    <w:p>
      <w:pPr>
        <w:pStyle w:val="Style5"/>
        <w:tabs>
          <w:tab w:leader="none" w:pos="3640" w:val="left"/>
          <w:tab w:leader="none" w:pos="9991" w:val="right"/>
          <w:tab w:leader="none" w:pos="10191" w:val="righ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закупке в соответствии с</w:t>
        <w:tab/>
        <w:t>требованиями, указанными в ч.1</w:t>
        <w:tab/>
        <w:t>ст.33 Закона</w:t>
        <w:tab/>
        <w:t>о</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доводу жалобы Заявителя в аукционной документации Заказчиком размещено Техническое задание, в составе которого присутствуют два приложения, а именно Приложение №1 и Приложение №4 к Техническому заданию, содержащие требования к поставляемой полиграфической продукции.</w:t>
      </w:r>
    </w:p>
    <w:p>
      <w:pPr>
        <w:pStyle w:val="Style5"/>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В то же самое время требования, установленные в Приложении №1, не соответствуют требованиям, установленным в Приложении №4, так например, количество листов в журнале в одной таблице указано не менее 100 страниц, а в другой таблице количество листов в том же журнале должно составлять от 300 листов.</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На заседании Комиссии Управления представитель Заказчика пояснил, что Приложение №1 содержит наименование позиции каждого товара согласно справочника предметов государственного заказа: место поставки товара, количество товара и краткие характеристики товара согласно справочника КТРУ, в связи с чем участникам закупки при заполнении первой части заявки необходимо было руководствоваться Приложением № 4 - «Спецификация поставляемых бланков», которое обязательно к заполнению и предусматривает наименование бланка и дополнительные требования, позволяющие определить потребность Заказчика в полном объеме.</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Вместе с тем, по мнению Комиссии Управления, техническое задание сформировано таким образом, что может вводить участников закупки в заблуждения относительно того, какое из приложений подлежит заполнению для представления в составе заявки, поскольку как самостоятельный факт техническая часть документации действительно содержит два приложения с характеристиками товаров, отличающимися друг от друга, что нарушает п.1,2 ч.1 ст.64 и ч.2 ст.33 Закона о контрактной системе.</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Одновременно с этим ходе заседания Комиссией Управления установлено, что Заказчиком даны разъяснения положений документации об электронном аукционе от 27.01.2021 №№РД1, РД2, согласно которым при заполнении первой части заявки участником необходимо руководствоваться требованиям к товарам, установленным в Приложении №4. На участие в аукционе подано 4 заявки и все поданные заявки заполнены в соответствии с Приложением №4, при этом согласно протоколу подведения итогов электронного аукциона от 04.02.2021 №0373200062921000005-3 в ходе торгов снижение по данному аукциону составило 66,49%, что свидетельствует о том, что выявленные нарушения не повлияли на ход проведения закупки.</w:t>
      </w:r>
    </w:p>
    <w:p>
      <w:pPr>
        <w:pStyle w:val="Style9"/>
        <w:widowControl w:val="0"/>
        <w:keepNext/>
        <w:keepLines/>
        <w:shd w:val="clear" w:color="auto" w:fill="auto"/>
        <w:bidi w:val="0"/>
        <w:spacing w:before="0" w:after="299" w:line="260" w:lineRule="exact"/>
        <w:ind w:left="0" w:right="0" w:firstLine="0"/>
      </w:pPr>
      <w:bookmarkStart w:id="1" w:name="bookmark1"/>
      <w:r>
        <w:rPr>
          <w:lang w:val="ru-RU" w:eastAsia="ru-RU" w:bidi="ru-RU"/>
          <w:w w:val="100"/>
          <w:spacing w:val="0"/>
          <w:color w:val="000000"/>
          <w:position w:val="0"/>
        </w:rPr>
        <w:t>Р Е Ш И Л А:</w:t>
      </w:r>
      <w:bookmarkEnd w:id="1"/>
    </w:p>
    <w:p>
      <w:pPr>
        <w:pStyle w:val="Style5"/>
        <w:numPr>
          <w:ilvl w:val="0"/>
          <w:numId w:val="3"/>
        </w:numPr>
        <w:widowControl w:val="0"/>
        <w:keepNext w:val="0"/>
        <w:keepLines w:val="0"/>
        <w:shd w:val="clear" w:color="auto" w:fill="auto"/>
        <w:bidi w:val="0"/>
        <w:spacing w:before="0" w:after="0" w:line="326" w:lineRule="exact"/>
        <w:ind w:left="0" w:right="20" w:firstLine="700"/>
      </w:pPr>
      <w:r>
        <w:rPr>
          <w:lang w:val="ru-RU" w:eastAsia="ru-RU" w:bidi="ru-RU"/>
          <w:w w:val="100"/>
          <w:spacing w:val="0"/>
          <w:color w:val="000000"/>
          <w:position w:val="0"/>
        </w:rPr>
        <w:t xml:space="preserve"> Признать жалобу ООО «Интеллект групп» на действия ГБУЗ «ГП № 107 ДЗМ» обоснованной.</w:t>
      </w:r>
    </w:p>
    <w:p>
      <w:pPr>
        <w:pStyle w:val="Style5"/>
        <w:numPr>
          <w:ilvl w:val="0"/>
          <w:numId w:val="3"/>
        </w:numPr>
        <w:widowControl w:val="0"/>
        <w:keepNext w:val="0"/>
        <w:keepLines w:val="0"/>
        <w:shd w:val="clear" w:color="auto" w:fill="auto"/>
        <w:bidi w:val="0"/>
        <w:spacing w:before="0" w:after="0" w:line="326" w:lineRule="exact"/>
        <w:ind w:left="0" w:right="20" w:firstLine="700"/>
      </w:pPr>
      <w:r>
        <w:rPr>
          <w:lang w:val="ru-RU" w:eastAsia="ru-RU" w:bidi="ru-RU"/>
          <w:w w:val="100"/>
          <w:spacing w:val="0"/>
          <w:color w:val="000000"/>
          <w:position w:val="0"/>
        </w:rPr>
        <w:t xml:space="preserve"> Признать в действиях Заказчика нарушение п.1,2 ч.1 ст.64 и ч.2 ст.33 Закона о контрактной системе.</w:t>
      </w:r>
    </w:p>
    <w:p>
      <w:pPr>
        <w:pStyle w:val="Style5"/>
        <w:numPr>
          <w:ilvl w:val="0"/>
          <w:numId w:val="3"/>
        </w:numPr>
        <w:widowControl w:val="0"/>
        <w:keepNext w:val="0"/>
        <w:keepLines w:val="0"/>
        <w:shd w:val="clear" w:color="auto" w:fill="auto"/>
        <w:bidi w:val="0"/>
        <w:spacing w:before="0" w:after="60" w:line="322" w:lineRule="exact"/>
        <w:ind w:left="0" w:right="20" w:firstLine="700"/>
      </w:pPr>
      <w:r>
        <w:rPr>
          <w:lang w:val="ru-RU" w:eastAsia="ru-RU" w:bidi="ru-RU"/>
          <w:w w:val="100"/>
          <w:spacing w:val="0"/>
          <w:color w:val="000000"/>
          <w:position w:val="0"/>
        </w:rPr>
        <w:t xml:space="preserve"> 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ход проведения закупки.</w:t>
      </w:r>
    </w:p>
    <w:p>
      <w:pPr>
        <w:pStyle w:val="Style5"/>
        <w:widowControl w:val="0"/>
        <w:keepNext w:val="0"/>
        <w:keepLines w:val="0"/>
        <w:shd w:val="clear" w:color="auto" w:fill="auto"/>
        <w:bidi w:val="0"/>
        <w:spacing w:before="0" w:after="647" w:line="322" w:lineRule="exact"/>
        <w:ind w:left="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8674" w:val="center"/>
          <w:tab w:leader="none" w:pos="10188" w:val="right"/>
        </w:tabs>
        <w:widowControl w:val="0"/>
        <w:keepNext w:val="0"/>
        <w:keepLines w:val="0"/>
        <w:shd w:val="clear" w:color="auto" w:fill="auto"/>
        <w:bidi w:val="0"/>
        <w:spacing w:before="0" w:after="0" w:line="638" w:lineRule="exact"/>
        <w:ind w:left="0" w:right="0" w:firstLine="0"/>
      </w:pPr>
      <w:r>
        <w:rPr>
          <w:lang w:val="ru-RU" w:eastAsia="ru-RU" w:bidi="ru-RU"/>
          <w:w w:val="100"/>
          <w:spacing w:val="0"/>
          <w:color w:val="000000"/>
          <w:position w:val="0"/>
        </w:rPr>
        <w:t>Председатель Комиссии</w:t>
        <w:tab/>
        <w:t>Л.Н.</w:t>
        <w:tab/>
        <w:t>Харченко</w:t>
      </w:r>
    </w:p>
    <w:p>
      <w:pPr>
        <w:pStyle w:val="Style5"/>
        <w:tabs>
          <w:tab w:leader="none" w:pos="8731" w:val="right"/>
          <w:tab w:leader="none" w:pos="10188" w:val="right"/>
        </w:tabs>
        <w:widowControl w:val="0"/>
        <w:keepNext w:val="0"/>
        <w:keepLines w:val="0"/>
        <w:shd w:val="clear" w:color="auto" w:fill="auto"/>
        <w:bidi w:val="0"/>
        <w:spacing w:before="0" w:after="0" w:line="638" w:lineRule="exact"/>
        <w:ind w:left="0" w:right="0" w:firstLine="0"/>
      </w:pPr>
      <w:r>
        <w:rPr>
          <w:lang w:val="ru-RU" w:eastAsia="ru-RU" w:bidi="ru-RU"/>
          <w:w w:val="100"/>
          <w:spacing w:val="0"/>
          <w:color w:val="000000"/>
          <w:position w:val="0"/>
        </w:rPr>
        <w:t>Члены Комиссии</w:t>
        <w:tab/>
        <w:t>Н.С.</w:t>
        <w:tab/>
        <w:t>Лушникова</w:t>
      </w:r>
    </w:p>
    <w:p>
      <w:pPr>
        <w:pStyle w:val="Style5"/>
        <w:widowControl w:val="0"/>
        <w:keepNext w:val="0"/>
        <w:keepLines w:val="0"/>
        <w:shd w:val="clear" w:color="auto" w:fill="auto"/>
        <w:bidi w:val="0"/>
        <w:jc w:val="right"/>
        <w:spacing w:before="0" w:after="5688" w:line="638" w:lineRule="exact"/>
        <w:ind w:left="0" w:right="20" w:firstLine="0"/>
      </w:pPr>
      <w:r>
        <w:rPr>
          <w:lang w:val="ru-RU" w:eastAsia="ru-RU" w:bidi="ru-RU"/>
          <w:w w:val="100"/>
          <w:spacing w:val="0"/>
          <w:color w:val="000000"/>
          <w:position w:val="0"/>
        </w:rPr>
        <w:t>В.А. Матвеев</w:t>
      </w:r>
    </w:p>
    <w:p>
      <w:pPr>
        <w:pStyle w:val="Style12"/>
        <w:widowControl w:val="0"/>
        <w:keepNext w:val="0"/>
        <w:keepLines w:val="0"/>
        <w:shd w:val="clear" w:color="auto" w:fill="auto"/>
        <w:bidi w:val="0"/>
        <w:jc w:val="left"/>
        <w:spacing w:before="0" w:after="0"/>
        <w:ind w:left="0" w:right="6520" w:firstLine="0"/>
      </w:pPr>
      <w:r>
        <w:rPr>
          <w:lang w:val="ru-RU" w:eastAsia="ru-RU" w:bidi="ru-RU"/>
          <w:w w:val="100"/>
          <w:spacing w:val="0"/>
          <w:color w:val="000000"/>
          <w:position w:val="0"/>
        </w:rPr>
        <w:t xml:space="preserve">Исп. Лушникова Наталья Сергеевна тел.8 (495)784-75-05 (077-146) </w:t>
      </w:r>
      <w:r>
        <w:fldChar w:fldCharType="begin"/>
      </w:r>
      <w:r>
        <w:rPr>
          <w:color w:val="000000"/>
        </w:rPr>
        <w:instrText> HYPERLINK "mailto:to77-lushnikova@fas.gov.ru" </w:instrText>
      </w:r>
      <w:r>
        <w:fldChar w:fldCharType="separate"/>
      </w:r>
      <w:r>
        <w:rPr>
          <w:rStyle w:val="Hyperlink"/>
          <w:lang w:val="en-US" w:eastAsia="en-US" w:bidi="en-US"/>
          <w:w w:val="100"/>
          <w:spacing w:val="0"/>
          <w:position w:val="0"/>
        </w:rPr>
        <w:t>to77-lushnikova@fas.gov.ru</w:t>
      </w:r>
      <w:r>
        <w:fldChar w:fldCharType="end"/>
      </w:r>
    </w:p>
    <w:sectPr>
      <w:footnotePr>
        <w:pos w:val="pageBottom"/>
        <w:numFmt w:val="decimal"/>
        <w:numRestart w:val="continuous"/>
      </w:footnotePr>
      <w:type w:val="continuous"/>
      <w:pgSz w:w="11906" w:h="16838"/>
      <w:pgMar w:top="1188" w:left="851" w:right="835" w:bottom="13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 11 pt"/>
    <w:basedOn w:val="CharStyle6"/>
    <w:rPr>
      <w:lang w:val="ru-RU" w:eastAsia="ru-RU" w:bidi="ru-RU"/>
      <w:sz w:val="22"/>
      <w:szCs w:val="22"/>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22"/>
      <w:szCs w:val="22"/>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line="64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2220" w:line="322" w:lineRule="exact"/>
      <w:ind w:firstLine="434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5400" w:line="278"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