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289" w:line="322" w:lineRule="exact"/>
        <w:ind w:left="5320" w:right="200" w:firstLine="0"/>
      </w:pPr>
      <w:r>
        <w:rPr>
          <w:lang w:val="ru-RU" w:eastAsia="ru-RU" w:bidi="ru-RU"/>
          <w:w w:val="100"/>
          <w:spacing w:val="0"/>
          <w:color w:val="000000"/>
          <w:position w:val="0"/>
        </w:rPr>
        <w:t xml:space="preserve">ул. Студенческая, д. 37, г. Москва, 121165, </w:t>
      </w:r>
      <w:r>
        <w:fldChar w:fldCharType="begin"/>
      </w:r>
      <w:r>
        <w:rPr>
          <w:color w:val="000000"/>
        </w:rPr>
        <w:instrText> HYPERLINK "mailto:MarakanovVA@edu.mos.ru" </w:instrText>
      </w:r>
      <w:r>
        <w:fldChar w:fldCharType="separate"/>
      </w:r>
      <w:r>
        <w:rPr>
          <w:rStyle w:val="Hyperlink"/>
          <w:lang w:val="en-US" w:eastAsia="en-US" w:bidi="en-US"/>
          <w:w w:val="100"/>
          <w:spacing w:val="0"/>
          <w:position w:val="0"/>
        </w:rPr>
        <w:t>MarakanovVA@edu.mos.ru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«Аймекс Инвест»</w:t>
      </w:r>
    </w:p>
    <w:p>
      <w:pPr>
        <w:pStyle w:val="Style5"/>
        <w:widowControl w:val="0"/>
        <w:keepNext w:val="0"/>
        <w:keepLines w:val="0"/>
        <w:shd w:val="clear" w:color="auto" w:fill="auto"/>
        <w:bidi w:val="0"/>
        <w:jc w:val="left"/>
        <w:spacing w:before="0" w:after="289" w:line="322" w:lineRule="exact"/>
        <w:ind w:left="5320" w:right="200" w:firstLine="0"/>
      </w:pPr>
      <w:r>
        <w:rPr>
          <w:lang w:val="ru-RU" w:eastAsia="ru-RU" w:bidi="ru-RU"/>
          <w:w w:val="100"/>
          <w:spacing w:val="0"/>
          <w:color w:val="000000"/>
          <w:position w:val="0"/>
        </w:rPr>
        <w:t xml:space="preserve">Походный пр-д, д. 4 к. 1, г. Москва, 125373, </w:t>
      </w:r>
      <w:r>
        <w:fldChar w:fldCharType="begin"/>
      </w:r>
      <w:r>
        <w:rPr>
          <w:color w:val="000000"/>
        </w:rPr>
        <w:instrText> HYPERLINK "mailto:sale@invakor.ru" </w:instrText>
      </w:r>
      <w:r>
        <w:fldChar w:fldCharType="separate"/>
      </w:r>
      <w:r>
        <w:rPr>
          <w:rStyle w:val="Hyperlink"/>
          <w:lang w:val="en-US" w:eastAsia="en-US" w:bidi="en-US"/>
          <w:w w:val="100"/>
          <w:spacing w:val="0"/>
          <w:position w:val="0"/>
        </w:rPr>
        <w:t>sale@invakor.ru</w:t>
      </w:r>
      <w:r>
        <w:fldChar w:fldCharType="end"/>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078" w:line="260" w:lineRule="exact"/>
        <w:ind w:left="5320" w:right="0" w:firstLine="0"/>
      </w:pPr>
      <w:r>
        <w:rPr>
          <w:lang w:val="ru-RU" w:eastAsia="ru-RU" w:bidi="ru-RU"/>
          <w:w w:val="100"/>
          <w:spacing w:val="0"/>
          <w:color w:val="000000"/>
          <w:position w:val="0"/>
        </w:rPr>
        <w:t>117312, г. Москва, пр. 60-я Октября, д.9</w:t>
      </w:r>
    </w:p>
    <w:p>
      <w:pPr>
        <w:pStyle w:val="Style7"/>
        <w:tabs>
          <w:tab w:leader="none" w:pos="8967"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077/06/106-1556/2021 о нарушении законодательства о контрактной системе 03.02.2021</w:t>
        <w:tab/>
        <w:t>г. 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22"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Специалиста 1-го разряда отдела обжалования государственных закупок Е.О. Сгибнева,</w:t>
      </w:r>
    </w:p>
    <w:p>
      <w:pPr>
        <w:pStyle w:val="Style3"/>
        <w:framePr w:w="1349" w:h="427" w:wrap="around" w:vAnchor="text" w:hAnchor="margin" w:x="351" w:y="401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001079835086</w:t>
      </w:r>
    </w:p>
    <w:p>
      <w:pPr>
        <w:pStyle w:val="Style5"/>
        <w:widowControl w:val="0"/>
        <w:keepNext w:val="0"/>
        <w:keepLines w:val="0"/>
        <w:shd w:val="clear" w:color="auto" w:fill="auto"/>
        <w:bidi w:val="0"/>
        <w:jc w:val="left"/>
        <w:spacing w:before="0" w:after="356" w:line="322" w:lineRule="exact"/>
        <w:ind w:left="20" w:right="20" w:firstLine="720"/>
        <w:sectPr>
          <w:footnotePr>
            <w:pos w:val="pageBottom"/>
            <w:numFmt w:val="decimal"/>
            <w:numRestart w:val="continuous"/>
          </w:footnotePr>
          <w:type w:val="continuous"/>
          <w:pgSz w:w="11906" w:h="16838"/>
          <w:pgMar w:top="669" w:left="840" w:right="850" w:bottom="1168" w:header="0" w:footer="3" w:gutter="0"/>
          <w:rtlGutter w:val="0"/>
          <w:cols w:space="720"/>
          <w:noEndnote/>
          <w:docGrid w:linePitch="360"/>
        </w:sectPr>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 xml:space="preserve">при участии представителей: ГКУ Дирекция ДОНМ, ООО «Аймекс Инвест», рассмотрев жалобу ООО «Аймекс Инвест» (далее </w:t>
      </w:r>
      <w:r>
        <w:rPr>
          <w:lang w:val="en-US" w:eastAsia="en-US" w:bidi="en-US"/>
          <w:w w:val="100"/>
          <w:spacing w:val="0"/>
          <w:color w:val="000000"/>
          <w:position w:val="0"/>
        </w:rPr>
        <w:t xml:space="preserve">— </w:t>
      </w:r>
      <w:r>
        <w:rPr>
          <w:lang w:val="ru-RU" w:eastAsia="ru-RU" w:bidi="ru-RU"/>
          <w:w w:val="100"/>
          <w:spacing w:val="0"/>
          <w:color w:val="000000"/>
          <w:position w:val="0"/>
        </w:rPr>
        <w:t>Заявитель) на действия ГКУ Дирекция ДОНМ (далее-Заказчик) при проведении электронного аукциона на право заключения государственного контракта на поставку специализированных товаров для детей с ОВЗ (клавиатура адаптированная с крупными кнопками) в рамках проекта «Техносфера современной школы» для нужд ГКОУ Школа № 2124 в 2021 году (среди СМП и СОНО) (Закупка № 0873500000821000026) (далее —</w:t>
      </w:r>
    </w:p>
    <w:p>
      <w:pPr>
        <w:pStyle w:val="Style5"/>
        <w:widowControl w:val="0"/>
        <w:keepNext w:val="0"/>
        <w:keepLines w:val="0"/>
        <w:shd w:val="clear" w:color="auto" w:fill="auto"/>
        <w:bidi w:val="0"/>
        <w:jc w:val="both"/>
        <w:spacing w:before="0" w:after="300" w:line="326" w:lineRule="exact"/>
        <w:ind w:left="20" w:right="20" w:firstLine="0"/>
      </w:pPr>
      <w:r>
        <w:rPr>
          <w:lang w:val="ru-RU" w:eastAsia="ru-RU" w:bidi="ru-RU"/>
          <w:w w:val="100"/>
          <w:spacing w:val="0"/>
          <w:color w:val="000000"/>
          <w:position w:val="0"/>
        </w:rPr>
        <w:t>аукцион, электронный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9"/>
        <w:widowControl w:val="0"/>
        <w:keepNext/>
        <w:keepLines/>
        <w:shd w:val="clear" w:color="auto" w:fill="auto"/>
        <w:bidi w:val="0"/>
        <w:jc w:val="left"/>
        <w:spacing w:before="0" w:after="0"/>
        <w:ind w:left="4240" w:right="0" w:firstLine="0"/>
      </w:pPr>
      <w:bookmarkStart w:id="0" w:name="bookmark0"/>
      <w:r>
        <w:rPr>
          <w:lang w:val="ru-RU" w:eastAsia="ru-RU" w:bidi="ru-RU"/>
          <w:w w:val="100"/>
          <w:spacing w:val="0"/>
          <w:color w:val="000000"/>
          <w:position w:val="0"/>
        </w:rPr>
        <w:t>УСТАНОВЛЕНО:</w:t>
      </w:r>
      <w:bookmarkEnd w:id="0"/>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Заявитель обжалует действия Заказчика, выразившиеся в размещении аукционной документации в нарушение норм Закона о контрактной системе.</w:t>
      </w:r>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27.01.2021 № ЕИ/5000/21.</w:t>
      </w:r>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соответствует товар единственного производителя, а именно Группа компаний «Исток-Аудио», Россия, что, по сути, указывает на то, что свободное приобретение такого товара является невозможным, поскольку в случае обратного, у потенциальных участников закупки, в том числе у Заявителя, не возникли бы трудности при формировании своего предложения в первой части заявки, следовательно, отсутствовала бы необходимость обжалования установления Заказчиком требований к такому товару.</w:t>
      </w:r>
    </w:p>
    <w:p>
      <w:pPr>
        <w:pStyle w:val="Style5"/>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В силу п.1,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участию в таком аукционе.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 Заявитель указывает на то, что Заказчиком установлены требования к клавиатуре указывающие на единственного производителя, а именно: Цвет алфавитных кнопок желтый.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В свою очередь на заседании Комиссии Управления представитель Заказчика пояснил, что требованиям аукционной документации соответствует также продукция </w:t>
      </w:r>
      <w:r>
        <w:rPr>
          <w:lang w:val="en-US" w:eastAsia="en-US" w:bidi="en-US"/>
          <w:w w:val="100"/>
          <w:spacing w:val="0"/>
          <w:color w:val="000000"/>
          <w:position w:val="0"/>
        </w:rPr>
        <w:t xml:space="preserve">BNC Distribution, </w:t>
      </w:r>
      <w:r>
        <w:rPr>
          <w:lang w:val="ru-RU" w:eastAsia="ru-RU" w:bidi="ru-RU"/>
          <w:w w:val="100"/>
          <w:spacing w:val="0"/>
          <w:color w:val="000000"/>
          <w:position w:val="0"/>
        </w:rPr>
        <w:t>США. В то же время документов и сведений, подтверждающих соответствие продукции указанного производителя требованиям аукционной документации Заказчиком не представлено.</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На заседании Комиссии Управления представитель Заявителя пояснил, что клавиатуры производства </w:t>
      </w:r>
      <w:r>
        <w:rPr>
          <w:lang w:val="en-US" w:eastAsia="en-US" w:bidi="en-US"/>
          <w:w w:val="100"/>
          <w:spacing w:val="0"/>
          <w:color w:val="000000"/>
          <w:position w:val="0"/>
        </w:rPr>
        <w:t xml:space="preserve">BNC Distribution, </w:t>
      </w:r>
      <w:r>
        <w:rPr>
          <w:lang w:val="ru-RU" w:eastAsia="ru-RU" w:bidi="ru-RU"/>
          <w:w w:val="100"/>
          <w:spacing w:val="0"/>
          <w:color w:val="000000"/>
          <w:position w:val="0"/>
        </w:rPr>
        <w:t>США не соответствуют требованиям аукционной документации, так как имеют синий цвет клавиш.</w:t>
      </w:r>
    </w:p>
    <w:p>
      <w:pPr>
        <w:pStyle w:val="Style5"/>
        <w:widowControl w:val="0"/>
        <w:keepNext w:val="0"/>
        <w:keepLines w:val="0"/>
        <w:shd w:val="clear" w:color="auto" w:fill="auto"/>
        <w:bidi w:val="0"/>
        <w:jc w:val="both"/>
        <w:spacing w:before="0" w:after="0" w:line="322" w:lineRule="exact"/>
        <w:ind w:left="0" w:right="40" w:firstLine="560"/>
      </w:pPr>
      <w:r>
        <w:rPr>
          <w:lang w:val="ru-RU" w:eastAsia="ru-RU" w:bidi="ru-RU"/>
          <w:w w:val="100"/>
          <w:spacing w:val="0"/>
          <w:color w:val="000000"/>
          <w:position w:val="0"/>
        </w:rPr>
        <w:t>Вместе с тем Комиссия Управления отмечает, что аукционная документация не содержит обоснований, подтверждающих объективную потребность Заказчика в товаре конкретного производителя с указанными в документации характеристиками.</w:t>
      </w:r>
    </w:p>
    <w:p>
      <w:pPr>
        <w:pStyle w:val="Style5"/>
        <w:tabs>
          <w:tab w:leader="none" w:pos="1580" w:val="left"/>
          <w:tab w:leader="none" w:pos="3031" w:val="left"/>
          <w:tab w:leader="none" w:pos="6140" w:val="left"/>
          <w:tab w:leader="none" w:pos="10175" w:val="right"/>
        </w:tabs>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Также</w:t>
        <w:tab/>
        <w:t>Комиссия</w:t>
        <w:tab/>
        <w:t>Управления отмечает,</w:t>
        <w:tab/>
        <w:t>что документы</w:t>
        <w:tab/>
        <w:t>и сведения,</w:t>
      </w:r>
    </w:p>
    <w:p>
      <w:pPr>
        <w:pStyle w:val="Style5"/>
        <w:tabs>
          <w:tab w:leader="none" w:pos="3166" w:val="left"/>
          <w:tab w:leader="none" w:pos="10175"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подтверждающие такую</w:t>
        <w:tab/>
        <w:t>потребность, не представлены Заказчиком</w:t>
        <w:tab/>
        <w:t>на заседании</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Комиссии Управления.</w:t>
      </w:r>
    </w:p>
    <w:p>
      <w:pPr>
        <w:pStyle w:val="Style5"/>
        <w:tabs>
          <w:tab w:leader="none" w:pos="1580" w:val="left"/>
          <w:tab w:leader="none" w:pos="3104" w:val="left"/>
          <w:tab w:leader="none" w:pos="6205" w:val="left"/>
          <w:tab w:leader="none" w:pos="10175" w:val="right"/>
        </w:tabs>
        <w:widowControl w:val="0"/>
        <w:keepNext w:val="0"/>
        <w:keepLines w:val="0"/>
        <w:shd w:val="clear" w:color="auto" w:fill="auto"/>
        <w:bidi w:val="0"/>
        <w:jc w:val="both"/>
        <w:spacing w:before="0" w:after="0" w:line="322" w:lineRule="exact"/>
        <w:ind w:left="0" w:right="40" w:firstLine="560"/>
      </w:pPr>
      <w:r>
        <w:rPr>
          <w:lang w:val="ru-RU" w:eastAsia="ru-RU" w:bidi="ru-RU"/>
          <w:w w:val="100"/>
          <w:spacing w:val="0"/>
          <w:color w:val="000000"/>
          <w:position w:val="0"/>
        </w:rPr>
        <w:t>В то же время включение Заказчиком в аукционную документацию требований к закупаемому товару, которые свидетельствуют о его конкретном производителе, в отсутствие</w:t>
        <w:tab/>
        <w:t>специфики</w:t>
        <w:tab/>
        <w:t>использования такого</w:t>
        <w:tab/>
        <w:t>товара является</w:t>
        <w:tab/>
        <w:t>нарушением</w:t>
      </w:r>
    </w:p>
    <w:p>
      <w:pPr>
        <w:pStyle w:val="Style5"/>
        <w:tabs>
          <w:tab w:leader="none" w:pos="1580" w:val="left"/>
          <w:tab w:leader="none" w:pos="3166" w:val="left"/>
          <w:tab w:leader="none" w:pos="6277"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положений</w:t>
        <w:tab/>
        <w:t>ст.33 Закона</w:t>
        <w:tab/>
        <w:t>о контрактной системе</w:t>
        <w:tab/>
        <w:t>(п.2 обзора судебной практики</w:t>
      </w:r>
    </w:p>
    <w:p>
      <w:pPr>
        <w:pStyle w:val="Style5"/>
        <w:widowControl w:val="0"/>
        <w:keepNext w:val="0"/>
        <w:keepLines w:val="0"/>
        <w:shd w:val="clear" w:color="auto" w:fill="auto"/>
        <w:bidi w:val="0"/>
        <w:jc w:val="both"/>
        <w:spacing w:before="0" w:after="109" w:line="322" w:lineRule="exact"/>
        <w:ind w:left="0" w:right="40" w:firstLine="0"/>
      </w:pPr>
      <w:r>
        <w:rPr>
          <w:lang w:val="ru-RU" w:eastAsia="ru-RU" w:bidi="ru-RU"/>
          <w:w w:val="100"/>
          <w:spacing w:val="0"/>
          <w:color w:val="000000"/>
          <w:position w:val="0"/>
        </w:rPr>
        <w:t>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w:t>
      </w:r>
    </w:p>
    <w:p>
      <w:pPr>
        <w:pStyle w:val="Style5"/>
        <w:widowControl w:val="0"/>
        <w:keepNext w:val="0"/>
        <w:keepLines w:val="0"/>
        <w:shd w:val="clear" w:color="auto" w:fill="auto"/>
        <w:bidi w:val="0"/>
        <w:jc w:val="both"/>
        <w:spacing w:before="0" w:after="3" w:line="260" w:lineRule="exact"/>
        <w:ind w:left="0" w:right="0" w:firstLine="0"/>
      </w:pPr>
      <w:r>
        <w:rPr>
          <w:lang w:val="ru-RU" w:eastAsia="ru-RU" w:bidi="ru-RU"/>
          <w:w w:val="100"/>
          <w:spacing w:val="0"/>
          <w:color w:val="000000"/>
          <w:position w:val="0"/>
        </w:rPr>
        <w:t>нужд от 28.06.2017).</w:t>
      </w:r>
    </w:p>
    <w:p>
      <w:pPr>
        <w:pStyle w:val="Style5"/>
        <w:widowControl w:val="0"/>
        <w:keepNext w:val="0"/>
        <w:keepLines w:val="0"/>
        <w:shd w:val="clear" w:color="auto" w:fill="auto"/>
        <w:bidi w:val="0"/>
        <w:jc w:val="both"/>
        <w:spacing w:before="0" w:after="0" w:line="322" w:lineRule="exact"/>
        <w:ind w:left="0" w:right="40" w:firstLine="56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данного довода жалобы и о нарушении Заказчиком положений п.1 ч.1 ст.33 Закона о контрактной системе при формировании технической части аукционной документации.</w:t>
      </w:r>
    </w:p>
    <w:p>
      <w:pPr>
        <w:pStyle w:val="Style5"/>
        <w:widowControl w:val="0"/>
        <w:keepNext w:val="0"/>
        <w:keepLines w:val="0"/>
        <w:shd w:val="clear" w:color="auto" w:fill="auto"/>
        <w:bidi w:val="0"/>
        <w:jc w:val="both"/>
        <w:spacing w:before="0" w:after="349" w:line="322" w:lineRule="exact"/>
        <w:ind w:left="0" w:right="4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295"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tabs>
          <w:tab w:leader="none" w:pos="1306" w:val="left"/>
        </w:tabs>
        <w:widowControl w:val="0"/>
        <w:keepNext w:val="0"/>
        <w:keepLines w:val="0"/>
        <w:shd w:val="clear" w:color="auto" w:fill="auto"/>
        <w:bidi w:val="0"/>
        <w:jc w:val="both"/>
        <w:spacing w:before="0" w:after="0" w:line="331" w:lineRule="exact"/>
        <w:ind w:left="0" w:right="40" w:firstLine="560"/>
      </w:pPr>
      <w:r>
        <w:rPr>
          <w:lang w:val="ru-RU" w:eastAsia="ru-RU" w:bidi="ru-RU"/>
          <w:w w:val="100"/>
          <w:spacing w:val="0"/>
          <w:color w:val="000000"/>
          <w:position w:val="0"/>
        </w:rPr>
        <w:t>Признать жалобу ООО «Аймекс Инвест» на действия ГКУ Дирекция ДОНМ обоснованной.</w:t>
      </w:r>
    </w:p>
    <w:p>
      <w:pPr>
        <w:pStyle w:val="Style5"/>
        <w:numPr>
          <w:ilvl w:val="0"/>
          <w:numId w:val="1"/>
        </w:numPr>
        <w:widowControl w:val="0"/>
        <w:keepNext w:val="0"/>
        <w:keepLines w:val="0"/>
        <w:shd w:val="clear" w:color="auto" w:fill="auto"/>
        <w:bidi w:val="0"/>
        <w:jc w:val="both"/>
        <w:spacing w:before="0" w:after="0" w:line="322" w:lineRule="exact"/>
        <w:ind w:left="0" w:right="40" w:firstLine="560"/>
      </w:pPr>
      <w:r>
        <w:rPr>
          <w:lang w:val="ru-RU" w:eastAsia="ru-RU" w:bidi="ru-RU"/>
          <w:w w:val="100"/>
          <w:spacing w:val="0"/>
          <w:color w:val="000000"/>
          <w:position w:val="0"/>
        </w:rPr>
        <w:t xml:space="preserve"> Признать в действиях Заказчика нарушение п. 1 ч. 1 ст. 33 Закона о контрактной системе.</w:t>
      </w:r>
    </w:p>
    <w:p>
      <w:pPr>
        <w:pStyle w:val="Style5"/>
        <w:numPr>
          <w:ilvl w:val="0"/>
          <w:numId w:val="1"/>
        </w:numPr>
        <w:tabs>
          <w:tab w:leader="none" w:pos="1306" w:val="left"/>
        </w:tabs>
        <w:widowControl w:val="0"/>
        <w:keepNext w:val="0"/>
        <w:keepLines w:val="0"/>
        <w:shd w:val="clear" w:color="auto" w:fill="auto"/>
        <w:bidi w:val="0"/>
        <w:jc w:val="both"/>
        <w:spacing w:before="0" w:after="300" w:line="326" w:lineRule="exact"/>
        <w:ind w:left="0" w:right="40" w:firstLine="56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47" w:line="326" w:lineRule="exact"/>
        <w:ind w:left="0" w:right="40" w:firstLine="560"/>
      </w:pPr>
      <w:r>
        <w:rPr>
          <w:lang w:val="ru-RU" w:eastAsia="ru-RU" w:bidi="ru-RU"/>
          <w:w w:val="100"/>
          <w:spacing w:val="0"/>
          <w:color w:val="000000"/>
          <w:position w:val="0"/>
        </w:rPr>
        <w:t>Настоящее 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54"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136"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 Кутейников</w:t>
      </w:r>
    </w:p>
    <w:p>
      <w:pPr>
        <w:pStyle w:val="Style5"/>
        <w:widowControl w:val="0"/>
        <w:keepNext w:val="0"/>
        <w:keepLines w:val="0"/>
        <w:shd w:val="clear" w:color="auto" w:fill="auto"/>
        <w:bidi w:val="0"/>
        <w:jc w:val="right"/>
        <w:spacing w:before="0" w:after="0" w:line="643" w:lineRule="exact"/>
        <w:ind w:left="0" w:right="40" w:firstLine="0"/>
      </w:pPr>
      <w:r>
        <w:rPr>
          <w:lang w:val="ru-RU" w:eastAsia="ru-RU" w:bidi="ru-RU"/>
          <w:w w:val="100"/>
          <w:spacing w:val="0"/>
          <w:color w:val="000000"/>
          <w:position w:val="0"/>
        </w:rPr>
        <w:t>Е.О. Сгибнев</w:t>
      </w:r>
    </w:p>
    <w:p>
      <w:pPr>
        <w:pStyle w:val="Style1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Всп. Кутейников А.А. 8(495) 784-75-05 (077-162)</w:t>
      </w:r>
    </w:p>
    <w:sectPr>
      <w:pgSz w:w="11906" w:h="16838"/>
      <w:pgMar w:top="1744" w:left="846" w:right="835" w:bottom="17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0,5 pt"/>
    <w:basedOn w:val="CharStyle6"/>
    <w:rPr>
      <w:lang w:val="ru-RU" w:eastAsia="ru-RU" w:bidi="ru-RU"/>
      <w:sz w:val="21"/>
      <w:szCs w:val="21"/>
      <w:w w:val="100"/>
      <w:spacing w:val="0"/>
      <w:color w:val="000000"/>
      <w:position w:val="0"/>
    </w:rPr>
  </w:style>
  <w:style w:type="character" w:customStyle="1" w:styleId="CharStyle12">
    <w:name w:val="Основной текст + 4,5 pt,Полужирный"/>
    <w:basedOn w:val="CharStyle6"/>
    <w:rPr>
      <w:lang w:val="ru-RU" w:eastAsia="ru-RU" w:bidi="ru-RU"/>
      <w:b/>
      <w:bCs/>
      <w:sz w:val="9"/>
      <w:szCs w:val="9"/>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200" w:line="322" w:lineRule="exact"/>
      <w:ind w:firstLine="442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