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573" w:left="2801" w:right="8122" w:bottom="602" w:header="0" w:footer="3" w:gutter="0"/>
          <w:rtlGutter w:val="0"/>
          <w:cols w:space="720"/>
          <w:noEndnote/>
          <w:docGrid w:linePitch="360"/>
        </w:sectPr>
      </w:pPr>
    </w:p>
    <w:p>
      <w:pPr>
        <w:widowControl w:val="0"/>
        <w:spacing w:before="25" w:after="2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120"/>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161"/>
        <w:ind w:left="0" w:right="0" w:firstLine="0"/>
      </w:pPr>
      <w:r>
        <w:rPr>
          <w:lang w:val="ru-RU" w:eastAsia="ru-RU" w:bidi="ru-RU"/>
          <w:w w:val="100"/>
          <w:spacing w:val="0"/>
          <w:color w:val="000000"/>
          <w:position w:val="0"/>
        </w:rPr>
        <w:t>УПРАВЛЕНИЕ Федеральной антимонопольной службы по Костромской области</w:t>
      </w:r>
    </w:p>
    <w:p>
      <w:pPr>
        <w:pStyle w:val="Style5"/>
        <w:widowControl w:val="0"/>
        <w:keepNext w:val="0"/>
        <w:keepLines w:val="0"/>
        <w:shd w:val="clear" w:color="auto" w:fill="auto"/>
        <w:bidi w:val="0"/>
        <w:spacing w:before="0" w:after="112"/>
        <w:ind w:left="0" w:right="0" w:firstLine="0"/>
      </w:pPr>
      <w:r>
        <w:rPr>
          <w:lang w:val="ru-RU" w:eastAsia="ru-RU" w:bidi="ru-RU"/>
          <w:w w:val="100"/>
          <w:spacing w:val="0"/>
          <w:color w:val="000000"/>
          <w:position w:val="0"/>
        </w:rPr>
        <w:t xml:space="preserve">пер. Кадыевский, 4, г. Кострома, 156000 тел. (4942) 35-53-55, факс (4942) 35-53-55 </w:t>
      </w:r>
      <w:r>
        <w:rPr>
          <w:lang w:val="en-US" w:eastAsia="en-US" w:bidi="en-US"/>
          <w:w w:val="100"/>
          <w:spacing w:val="0"/>
          <w:color w:val="000000"/>
          <w:position w:val="0"/>
        </w:rPr>
        <w:t xml:space="preserve">e-mail: </w:t>
      </w:r>
      <w:r>
        <w:fldChar w:fldCharType="begin"/>
      </w:r>
      <w:r>
        <w:rPr>
          <w:color w:val="000000"/>
        </w:rPr>
        <w:instrText> HYPERLINK "mailto:to44@fas.gov.ru" </w:instrText>
      </w:r>
      <w:r>
        <w:fldChar w:fldCharType="separate"/>
      </w:r>
      <w:r>
        <w:rPr>
          <w:rStyle w:val="Hyperlink"/>
          <w:lang w:val="en-US" w:eastAsia="en-US" w:bidi="en-US"/>
          <w:w w:val="100"/>
          <w:spacing w:val="0"/>
          <w:position w:val="0"/>
        </w:rPr>
        <w:t>to44@fas.gov.ru</w:t>
      </w:r>
      <w:r>
        <w:fldChar w:fldCharType="end"/>
      </w:r>
    </w:p>
    <w:p>
      <w:pPr>
        <w:pStyle w:val="Style7"/>
        <w:tabs>
          <w:tab w:leader="none" w:pos="3194" w:val="right"/>
          <w:tab w:leader="none" w:pos="3385" w:val="right"/>
          <w:tab w:leader="underscore" w:pos="3991" w:val="left"/>
        </w:tabs>
        <w:widowControl w:val="0"/>
        <w:keepNext w:val="0"/>
        <w:keepLines w:val="0"/>
        <w:shd w:val="clear" w:color="auto" w:fill="auto"/>
        <w:bidi w:val="0"/>
        <w:spacing w:before="0" w:after="125" w:line="240" w:lineRule="exact"/>
        <w:ind w:left="440" w:right="0" w:firstLine="0"/>
      </w:pPr>
      <w:r>
        <w:rPr>
          <w:rStyle w:val="CharStyle9"/>
          <w:lang w:val="ru-RU" w:eastAsia="ru-RU" w:bidi="ru-RU"/>
        </w:rPr>
        <w:t xml:space="preserve">/ к. </w:t>
      </w:r>
      <w:r>
        <w:rPr>
          <w:rStyle w:val="CharStyle9"/>
        </w:rPr>
        <w:t xml:space="preserve">i </w:t>
      </w:r>
      <w:r>
        <w:rPr>
          <w:rStyle w:val="CharStyle9"/>
          <w:vertAlign w:val="superscript"/>
        </w:rPr>
        <w:t>;i</w:t>
      </w:r>
      <w:r>
        <w:rPr>
          <w:rStyle w:val="CharStyle9"/>
        </w:rPr>
        <w:t xml:space="preserve"> </w:t>
      </w:r>
      <w:r>
        <w:rPr>
          <w:rStyle w:val="CharStyle10"/>
          <w:lang w:val="ru-RU" w:eastAsia="ru-RU" w:bidi="ru-RU"/>
        </w:rPr>
        <w:t xml:space="preserve">\ </w:t>
      </w:r>
      <w:r>
        <w:rPr>
          <w:rStyle w:val="CharStyle10"/>
        </w:rPr>
        <w:t>j'-'i</w:t>
      </w:r>
      <w:r>
        <w:rPr>
          <w:rStyle w:val="CharStyle11"/>
        </w:rPr>
        <w:t xml:space="preserve"> </w:t>
      </w:r>
      <w:r>
        <w:rPr>
          <w:lang w:val="ru-RU" w:eastAsia="ru-RU" w:bidi="ru-RU"/>
          <w:sz w:val="24"/>
          <w:szCs w:val="24"/>
          <w:w w:val="100"/>
          <w:spacing w:val="0"/>
          <w:color w:val="000000"/>
          <w:position w:val="0"/>
        </w:rPr>
        <w:t>№</w:t>
        <w:tab/>
      </w:r>
      <w:r>
        <w:rPr>
          <w:rStyle w:val="CharStyle12"/>
        </w:rPr>
        <w:t xml:space="preserve">Q </w:t>
      </w:r>
      <w:r>
        <w:rPr>
          <w:rStyle w:val="CharStyle13"/>
        </w:rPr>
        <w:t xml:space="preserve">Q </w:t>
      </w:r>
      <w:r>
        <w:rPr>
          <w:rStyle w:val="CharStyle13"/>
          <w:lang w:val="ru-RU" w:eastAsia="ru-RU" w:bidi="ru-RU"/>
        </w:rPr>
        <w:t>(О</w:t>
      </w:r>
      <w:r>
        <w:rPr>
          <w:rStyle w:val="CharStyle12"/>
          <w:lang w:val="ru-RU" w:eastAsia="ru-RU" w:bidi="ru-RU"/>
        </w:rPr>
        <w:tab/>
        <w:t>^</w:t>
      </w:r>
      <w:r>
        <w:rPr>
          <w:lang w:val="ru-RU" w:eastAsia="ru-RU" w:bidi="ru-RU"/>
          <w:sz w:val="24"/>
          <w:szCs w:val="24"/>
          <w:w w:val="100"/>
          <w:spacing w:val="0"/>
          <w:color w:val="000000"/>
          <w:position w:val="0"/>
        </w:rPr>
        <w:tab/>
      </w:r>
    </w:p>
    <w:p>
      <w:pPr>
        <w:pStyle w:val="Style5"/>
        <w:tabs>
          <w:tab w:leader="none" w:pos="2301" w:val="right"/>
          <w:tab w:leader="underscore" w:pos="2776" w:val="left"/>
          <w:tab w:leader="underscore" w:pos="3991" w:val="left"/>
        </w:tabs>
        <w:widowControl w:val="0"/>
        <w:keepNext w:val="0"/>
        <w:keepLines w:val="0"/>
        <w:shd w:val="clear" w:color="auto" w:fill="auto"/>
        <w:bidi w:val="0"/>
        <w:jc w:val="both"/>
        <w:spacing w:before="0" w:after="0" w:line="180" w:lineRule="exact"/>
        <w:ind w:left="440" w:right="0" w:firstLine="0"/>
      </w:pPr>
      <w:r>
        <w:rPr>
          <w:lang w:val="ru-RU" w:eastAsia="ru-RU" w:bidi="ru-RU"/>
          <w:w w:val="100"/>
          <w:spacing w:val="0"/>
          <w:color w:val="000000"/>
          <w:position w:val="0"/>
        </w:rPr>
        <w:t>На №</w:t>
        <w:tab/>
        <w:t>от</w:t>
        <w:tab/>
        <w:t xml:space="preserve"> </w:t>
        <w:tab/>
      </w:r>
    </w:p>
    <w:p>
      <w:pPr>
        <w:pStyle w:val="Style14"/>
        <w:widowControl w:val="0"/>
        <w:keepNext w:val="0"/>
        <w:keepLines w:val="0"/>
        <w:shd w:val="clear" w:color="auto" w:fill="auto"/>
        <w:bidi w:val="0"/>
        <w:spacing w:before="0" w:after="0"/>
        <w:ind w:left="20" w:right="0" w:firstLine="0"/>
      </w:pPr>
      <w:r>
        <w:rPr>
          <w:rStyle w:val="CharStyle16"/>
          <w:lang w:val="ru-RU" w:eastAsia="ru-RU" w:bidi="ru-RU"/>
        </w:rPr>
        <w:t>Заказчик:</w:t>
      </w:r>
    </w:p>
    <w:p>
      <w:pPr>
        <w:pStyle w:val="Style14"/>
        <w:widowControl w:val="0"/>
        <w:keepNext w:val="0"/>
        <w:keepLines w:val="0"/>
        <w:shd w:val="clear" w:color="auto" w:fill="auto"/>
        <w:bidi w:val="0"/>
        <w:spacing w:before="0" w:after="246"/>
        <w:ind w:left="20" w:right="0" w:firstLine="0"/>
      </w:pPr>
      <w:r>
        <w:rPr>
          <w:lang w:val="ru-RU" w:eastAsia="ru-RU" w:bidi="ru-RU"/>
          <w:w w:val="100"/>
          <w:spacing w:val="0"/>
          <w:color w:val="000000"/>
          <w:position w:val="0"/>
        </w:rPr>
        <w:t>Комитет по строительству, транспорту и дорожной деятельности Администрации города Костромы</w:t>
      </w:r>
    </w:p>
    <w:p>
      <w:pPr>
        <w:pStyle w:val="Style14"/>
        <w:widowControl w:val="0"/>
        <w:keepNext w:val="0"/>
        <w:keepLines w:val="0"/>
        <w:shd w:val="clear" w:color="auto" w:fill="auto"/>
        <w:bidi w:val="0"/>
        <w:jc w:val="left"/>
        <w:spacing w:before="0" w:after="275" w:line="274" w:lineRule="exact"/>
        <w:ind w:left="20" w:right="840" w:firstLine="0"/>
      </w:pPr>
      <w:r>
        <w:rPr>
          <w:lang w:val="ru-RU" w:eastAsia="ru-RU" w:bidi="ru-RU"/>
          <w:w w:val="100"/>
          <w:spacing w:val="0"/>
          <w:color w:val="000000"/>
          <w:position w:val="0"/>
        </w:rPr>
        <w:t xml:space="preserve">Пл. Конституции, 2 , г. Кострома, 156005 </w:t>
      </w:r>
      <w:r>
        <w:rPr>
          <w:lang w:val="en-US" w:eastAsia="en-US" w:bidi="en-US"/>
          <w:w w:val="100"/>
          <w:spacing w:val="0"/>
          <w:color w:val="000000"/>
          <w:position w:val="0"/>
        </w:rPr>
        <w:t xml:space="preserve">e-mail: </w:t>
      </w:r>
      <w:r>
        <w:fldChar w:fldCharType="begin"/>
      </w:r>
      <w:r>
        <w:rPr>
          <w:color w:val="000000"/>
        </w:rPr>
        <w:instrText> HYPERLINK "mailto:KSTDzakupki@gradkostroma.ru" </w:instrText>
      </w:r>
      <w:r>
        <w:fldChar w:fldCharType="separate"/>
      </w:r>
      <w:r>
        <w:rPr>
          <w:rStyle w:val="Hyperlink"/>
          <w:lang w:val="en-US" w:eastAsia="en-US" w:bidi="en-US"/>
          <w:w w:val="100"/>
          <w:spacing w:val="0"/>
          <w:position w:val="0"/>
        </w:rPr>
        <w:t>KSTDzakupki@gradkostroma.ru</w:t>
      </w:r>
      <w:r>
        <w:fldChar w:fldCharType="end"/>
      </w:r>
    </w:p>
    <w:p>
      <w:pPr>
        <w:pStyle w:val="Style14"/>
        <w:widowControl w:val="0"/>
        <w:keepNext w:val="0"/>
        <w:keepLines w:val="0"/>
        <w:shd w:val="clear" w:color="auto" w:fill="auto"/>
        <w:bidi w:val="0"/>
        <w:spacing w:before="0" w:after="3" w:line="230" w:lineRule="exact"/>
        <w:ind w:left="20" w:right="0" w:firstLine="0"/>
      </w:pPr>
      <w:r>
        <w:rPr>
          <w:lang w:val="ru-RU" w:eastAsia="ru-RU" w:bidi="ru-RU"/>
          <w:w w:val="100"/>
          <w:spacing w:val="0"/>
          <w:color w:val="000000"/>
          <w:position w:val="0"/>
        </w:rPr>
        <w:t>Электронная площадка:</w:t>
      </w:r>
    </w:p>
    <w:p>
      <w:pPr>
        <w:pStyle w:val="Style14"/>
        <w:widowControl w:val="0"/>
        <w:keepNext w:val="0"/>
        <w:keepLines w:val="0"/>
        <w:shd w:val="clear" w:color="auto" w:fill="auto"/>
        <w:bidi w:val="0"/>
        <w:spacing w:before="0" w:after="0" w:line="230" w:lineRule="exact"/>
        <w:ind w:left="20" w:right="0" w:firstLine="0"/>
      </w:pPr>
      <w:r>
        <w:rPr>
          <w:lang w:val="ru-RU" w:eastAsia="ru-RU" w:bidi="ru-RU"/>
          <w:w w:val="100"/>
          <w:spacing w:val="0"/>
          <w:color w:val="000000"/>
          <w:position w:val="0"/>
        </w:rPr>
        <w:t>ООО «РТС-тендер»</w:t>
      </w:r>
    </w:p>
    <w:p>
      <w:pPr>
        <w:pStyle w:val="Style14"/>
        <w:widowControl w:val="0"/>
        <w:keepNext w:val="0"/>
        <w:keepLines w:val="0"/>
        <w:shd w:val="clear" w:color="auto" w:fill="auto"/>
        <w:bidi w:val="0"/>
        <w:jc w:val="left"/>
        <w:spacing w:before="0" w:after="0" w:line="544" w:lineRule="exact"/>
        <w:ind w:left="20" w:right="2660" w:firstLine="0"/>
        <w:sectPr>
          <w:type w:val="continuous"/>
          <w:pgSz w:w="11906" w:h="16838"/>
          <w:pgMar w:top="573" w:left="1109" w:right="1001" w:bottom="602" w:header="0" w:footer="3" w:gutter="0"/>
          <w:rtlGutter w:val="0"/>
          <w:cols w:num="2" w:space="720" w:equalWidth="0">
            <w:col w:w="4378" w:space="346"/>
            <w:col w:w="5072"/>
          </w:cols>
          <w:noEndnote/>
          <w:docGrid w:linePitch="360"/>
        </w:sectPr>
      </w:pPr>
      <w:r>
        <w:rPr>
          <w:lang w:val="en-US" w:eastAsia="en-US" w:bidi="en-US"/>
          <w:w w:val="100"/>
          <w:spacing w:val="0"/>
          <w:color w:val="000000"/>
          <w:position w:val="0"/>
        </w:rPr>
        <w:t xml:space="preserve">e-mail: </w:t>
      </w:r>
      <w:r>
        <w:fldChar w:fldCharType="begin"/>
      </w:r>
      <w:r>
        <w:rPr>
          <w:color w:val="000000"/>
        </w:rPr>
        <w:instrText> HYPERLINK "mailto:ko@rts-tender.ru" </w:instrText>
      </w:r>
      <w:r>
        <w:fldChar w:fldCharType="separate"/>
      </w:r>
      <w:r>
        <w:rPr>
          <w:rStyle w:val="Hyperlink"/>
          <w:lang w:val="en-US" w:eastAsia="en-US" w:bidi="en-US"/>
          <w:w w:val="100"/>
          <w:spacing w:val="0"/>
          <w:position w:val="0"/>
        </w:rPr>
        <w:t>ko@rts-tender.ru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ООО «ПОН»</w:t>
      </w:r>
    </w:p>
    <w:p>
      <w:pPr>
        <w:widowControl w:val="0"/>
        <w:spacing w:line="213" w:lineRule="exact"/>
        <w:rPr>
          <w:sz w:val="17"/>
          <w:szCs w:val="17"/>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4"/>
        <w:widowControl w:val="0"/>
        <w:keepNext w:val="0"/>
        <w:keepLines w:val="0"/>
        <w:shd w:val="clear" w:color="auto" w:fill="auto"/>
        <w:bidi w:val="0"/>
        <w:jc w:val="left"/>
        <w:spacing w:before="0" w:after="240" w:line="277" w:lineRule="exact"/>
        <w:ind w:left="4860" w:right="760" w:firstLine="0"/>
      </w:pPr>
      <w:r>
        <w:rPr>
          <w:lang w:val="ru-RU" w:eastAsia="ru-RU" w:bidi="ru-RU"/>
          <w:w w:val="100"/>
          <w:spacing w:val="0"/>
          <w:color w:val="000000"/>
          <w:position w:val="0"/>
        </w:rPr>
        <w:t xml:space="preserve">Пл. Ленина, дом Союзов, каб. 031, 033, г. Махачкала, РД, 367000 </w:t>
      </w:r>
      <w:r>
        <w:rPr>
          <w:lang w:val="en-US" w:eastAsia="en-US" w:bidi="en-US"/>
          <w:w w:val="100"/>
          <w:spacing w:val="0"/>
          <w:color w:val="000000"/>
          <w:position w:val="0"/>
        </w:rPr>
        <w:t xml:space="preserve">e-mail: </w:t>
      </w:r>
      <w:r>
        <w:fldChar w:fldCharType="begin"/>
      </w:r>
      <w:r>
        <w:rPr>
          <w:rStyle w:val="CharStyle16"/>
        </w:rPr>
        <w:instrText> HYPERLINK "mailto:mailDon@inbox.ru" </w:instrText>
      </w:r>
      <w:r>
        <w:fldChar w:fldCharType="separate"/>
      </w:r>
      <w:r>
        <w:rPr>
          <w:rStyle w:val="Hyperlink"/>
        </w:rPr>
        <w:t>mailDon@inbox.ru</w:t>
      </w:r>
      <w:r>
        <w:fldChar w:fldCharType="end"/>
      </w:r>
    </w:p>
    <w:p>
      <w:pPr>
        <w:pStyle w:val="Style14"/>
        <w:tabs>
          <w:tab w:leader="none" w:pos="8743" w:val="right"/>
          <w:tab w:leader="none" w:pos="9796" w:val="right"/>
        </w:tabs>
        <w:widowControl w:val="0"/>
        <w:keepNext w:val="0"/>
        <w:keepLines w:val="0"/>
        <w:shd w:val="clear" w:color="auto" w:fill="auto"/>
        <w:bidi w:val="0"/>
        <w:jc w:val="left"/>
        <w:spacing w:before="0" w:after="243" w:line="277" w:lineRule="exact"/>
        <w:ind w:left="20" w:right="20" w:firstLine="3140"/>
      </w:pPr>
      <w:r>
        <w:rPr>
          <w:lang w:val="ru-RU" w:eastAsia="ru-RU" w:bidi="ru-RU"/>
          <w:w w:val="100"/>
          <w:spacing w:val="0"/>
          <w:color w:val="000000"/>
          <w:position w:val="0"/>
        </w:rPr>
        <w:t>РЕШЕНИЕ № 044/06/105-38/2021 «04» февраля 2021 г.</w:t>
        <w:tab/>
        <w:t>г.</w:t>
        <w:tab/>
        <w:t>Кострома</w:t>
      </w:r>
    </w:p>
    <w:p>
      <w:pPr>
        <w:pStyle w:val="Style14"/>
        <w:widowControl w:val="0"/>
        <w:keepNext w:val="0"/>
        <w:keepLines w:val="0"/>
        <w:shd w:val="clear" w:color="auto" w:fill="auto"/>
        <w:bidi w:val="0"/>
        <w:jc w:val="left"/>
        <w:spacing w:before="0" w:after="0" w:line="274" w:lineRule="exact"/>
        <w:ind w:left="20" w:right="20" w:firstLine="700"/>
      </w:pPr>
      <w:r>
        <w:rPr>
          <w:lang w:val="ru-RU" w:eastAsia="ru-RU" w:bidi="ru-RU"/>
          <w:w w:val="100"/>
          <w:spacing w:val="0"/>
          <w:color w:val="000000"/>
          <w:position w:val="0"/>
        </w:rPr>
        <w:t>Комиссия Костромского У ФАС России по контролю в сфере закупок (далее - Комиссия Костромского У ФАС России) в составе:</w:t>
      </w:r>
    </w:p>
    <w:p>
      <w:pPr>
        <w:pStyle w:val="Style14"/>
        <w:tabs>
          <w:tab w:leader="none" w:pos="9214" w:val="right"/>
          <w:tab w:leader="none" w:pos="9796" w:val="right"/>
        </w:tabs>
        <w:widowControl w:val="0"/>
        <w:keepNext w:val="0"/>
        <w:keepLines w:val="0"/>
        <w:shd w:val="clear" w:color="auto" w:fill="auto"/>
        <w:bidi w:val="0"/>
        <w:spacing w:before="0" w:after="0" w:line="274" w:lineRule="exact"/>
        <w:ind w:left="720" w:right="0" w:firstLine="0"/>
      </w:pPr>
      <w:r>
        <w:rPr>
          <w:lang w:val="ru-RU" w:eastAsia="ru-RU" w:bidi="ru-RU"/>
          <w:w w:val="100"/>
          <w:spacing w:val="0"/>
          <w:color w:val="000000"/>
          <w:position w:val="0"/>
        </w:rPr>
        <w:t>Председателя Комиссии:</w:t>
        <w:tab/>
        <w:t>Ревельцев</w:t>
        <w:tab/>
        <w:t>О.В.;</w:t>
      </w:r>
    </w:p>
    <w:p>
      <w:pPr>
        <w:pStyle w:val="Style14"/>
        <w:tabs>
          <w:tab w:leader="none" w:pos="9214" w:val="right"/>
          <w:tab w:leader="none" w:pos="9796" w:val="right"/>
        </w:tabs>
        <w:widowControl w:val="0"/>
        <w:keepNext w:val="0"/>
        <w:keepLines w:val="0"/>
        <w:shd w:val="clear" w:color="auto" w:fill="auto"/>
        <w:bidi w:val="0"/>
        <w:spacing w:before="0" w:after="0" w:line="274" w:lineRule="exact"/>
        <w:ind w:left="720" w:right="0" w:firstLine="0"/>
      </w:pPr>
      <w:r>
        <w:rPr>
          <w:lang w:val="ru-RU" w:eastAsia="ru-RU" w:bidi="ru-RU"/>
          <w:w w:val="100"/>
          <w:spacing w:val="0"/>
          <w:color w:val="000000"/>
          <w:position w:val="0"/>
        </w:rPr>
        <w:t>Члены Комиссии:</w:t>
        <w:tab/>
        <w:t>Шулепникова</w:t>
        <w:tab/>
        <w:t>А.А.,</w:t>
      </w:r>
    </w:p>
    <w:p>
      <w:pPr>
        <w:pStyle w:val="Style14"/>
        <w:widowControl w:val="0"/>
        <w:keepNext w:val="0"/>
        <w:keepLines w:val="0"/>
        <w:shd w:val="clear" w:color="auto" w:fill="auto"/>
        <w:bidi w:val="0"/>
        <w:jc w:val="right"/>
        <w:spacing w:before="0" w:after="0" w:line="274" w:lineRule="exact"/>
        <w:ind w:left="0" w:right="20" w:firstLine="0"/>
      </w:pPr>
      <w:r>
        <w:rPr>
          <w:lang w:val="ru-RU" w:eastAsia="ru-RU" w:bidi="ru-RU"/>
          <w:w w:val="100"/>
          <w:spacing w:val="0"/>
          <w:color w:val="000000"/>
          <w:position w:val="0"/>
        </w:rPr>
        <w:t>Суясов А.И.,</w:t>
      </w:r>
    </w:p>
    <w:p>
      <w:pPr>
        <w:pStyle w:val="Style14"/>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при ведении аудиозаписи заседания, в присутствии представителей Комитета по строительству, транспорту и дорожной деятельности Администрации города Костромы (далее - Заказчик), в присутствии представителя ООО «ПОН» (далее - Заявитель), обеспечивших свое участие посредством Видеоконференцсвязи, рассмотрев жалобу Заявителя на действия Комиссии Заказчика и в результате проведения в соответствии с частью 15 статьи 99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pPr>
        <w:pStyle w:val="Style14"/>
        <w:widowControl w:val="0"/>
        <w:keepNext w:val="0"/>
        <w:keepLines w:val="0"/>
        <w:shd w:val="clear" w:color="auto" w:fill="auto"/>
        <w:bidi w:val="0"/>
        <w:jc w:val="left"/>
        <w:spacing w:before="0" w:after="0" w:line="274" w:lineRule="exact"/>
        <w:ind w:left="4340" w:right="0" w:firstLine="0"/>
      </w:pPr>
      <w:r>
        <w:rPr>
          <w:lang w:val="ru-RU" w:eastAsia="ru-RU" w:bidi="ru-RU"/>
          <w:w w:val="100"/>
          <w:spacing w:val="0"/>
          <w:color w:val="000000"/>
          <w:position w:val="0"/>
        </w:rPr>
        <w:t>УСТАНОВИЛА:</w:t>
      </w:r>
    </w:p>
    <w:p>
      <w:pPr>
        <w:pStyle w:val="Style14"/>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 xml:space="preserve">Согласно представленным материалам, 26.12.2021 г. на официальном сайте в сети «Интернет» в единой информационной системе в сфере закупок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http://www.zakupki.gov.ru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Заказчиком, размещено извещение и документация о проведении электронного аукциона на выполнение работ по по корректировке проекта повторного применения и выполнению инженерных изысканий, строительству здания муниципального общеобразовательного учреждения города Костромы на 900 мест на земельном участке, расположенном по адресу: город Кострома, поселок Волжский, Речной проспект, в районе дома 145 (закупка № 0141600001020000001) (далее - Документация об аукционе).</w:t>
      </w:r>
    </w:p>
    <w:p>
      <w:pPr>
        <w:pStyle w:val="Style14"/>
        <w:widowControl w:val="0"/>
        <w:keepNext w:val="0"/>
        <w:keepLines w:val="0"/>
        <w:shd w:val="clear" w:color="auto" w:fill="auto"/>
        <w:bidi w:val="0"/>
        <w:spacing w:before="0" w:after="0" w:line="274" w:lineRule="exact"/>
        <w:ind w:left="20" w:right="0" w:firstLine="580"/>
      </w:pPr>
      <w:r>
        <w:rPr>
          <w:lang w:val="ru-RU" w:eastAsia="ru-RU" w:bidi="ru-RU"/>
          <w:w w:val="100"/>
          <w:spacing w:val="0"/>
          <w:color w:val="000000"/>
          <w:position w:val="0"/>
        </w:rPr>
        <w:t>Начальная (максимальная) цена контракта 722 196 300,00 руб.</w:t>
      </w:r>
    </w:p>
    <w:p>
      <w:pPr>
        <w:pStyle w:val="Style14"/>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Заявитель в своей жалобе обжалует действия аукционной комиссии, а именно незаконное признание заявки несоответствующей требованиям аукционной документации.</w:t>
      </w:r>
    </w:p>
    <w:p>
      <w:pPr>
        <w:pStyle w:val="Style14"/>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Заказчик с доводом Заявителя не согласны в полном объеме. На заседание Комиссии направил письменные возражения на жалобу.</w:t>
      </w:r>
      <w:r>
        <w:br w:type="page"/>
      </w:r>
    </w:p>
    <w:p>
      <w:pPr>
        <w:pStyle w:val="Style14"/>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Изучив представленные документы Комиссия Костромского У ФАС России пришла к следующим выводам.</w:t>
      </w:r>
    </w:p>
    <w:p>
      <w:pPr>
        <w:pStyle w:val="Style14"/>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В соответствии со статьей 6 Закона о контрактной системе контрактная система в сфере закупок основывается на принципах открытости и прозрачности информации о контрактной системе в сфере закупок, а также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14"/>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При этом заказчики в силу части 1 статьи 24 Закона о контрактной системе при осуществлении закупок используют конкурентные способы определения поставщиков (подрядчиков, исполнителей) или осуществляют закупки у единственного поставщика (подрядчика, исполнителя).</w:t>
      </w:r>
    </w:p>
    <w:p>
      <w:pPr>
        <w:pStyle w:val="Style14"/>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Конкурентными способами определения поставщиков (подрядчиков, исполнителей) являются конкурсы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аукционы (аукцион в электронной форме (далее также - электронный аукцион), закрытый аукцион), запрос котировок, запрос предложений (часть 2 статьи 24 Закона о контрактной системе).</w:t>
      </w:r>
    </w:p>
    <w:p>
      <w:pPr>
        <w:pStyle w:val="Style14"/>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pPr>
        <w:pStyle w:val="Style14"/>
        <w:widowControl w:val="0"/>
        <w:keepNext w:val="0"/>
        <w:keepLines w:val="0"/>
        <w:shd w:val="clear" w:color="auto" w:fill="auto"/>
        <w:bidi w:val="0"/>
        <w:spacing w:before="0" w:after="0" w:line="274" w:lineRule="exact"/>
        <w:ind w:left="20" w:right="0" w:firstLine="580"/>
      </w:pPr>
      <w:r>
        <w:rPr>
          <w:lang w:val="ru-RU" w:eastAsia="ru-RU" w:bidi="ru-RU"/>
          <w:w w:val="100"/>
          <w:spacing w:val="0"/>
          <w:color w:val="000000"/>
          <w:position w:val="0"/>
        </w:rPr>
        <w:t>По доводу заявителя установлено следующее.</w:t>
      </w:r>
    </w:p>
    <w:p>
      <w:pPr>
        <w:pStyle w:val="Style14"/>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Согласно пункту 1.3.1.2. Раздела 1 «Общие положения» документации обеспечение заявки на участие в аукционе может предоставляться участником аукциона в виде денежных средств или банковской гарантии. Выбор способа обеспечения заявки на участие в аукционе осуществляется участником аукциона.</w:t>
      </w:r>
    </w:p>
    <w:p>
      <w:pPr>
        <w:pStyle w:val="Style14"/>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В соответствии с частью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14"/>
        <w:numPr>
          <w:ilvl w:val="0"/>
          <w:numId w:val="1"/>
        </w:numPr>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 xml:space="preserve"> 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14"/>
        <w:numPr>
          <w:ilvl w:val="0"/>
          <w:numId w:val="1"/>
        </w:numPr>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pPr>
        <w:pStyle w:val="Style14"/>
        <w:numPr>
          <w:ilvl w:val="0"/>
          <w:numId w:val="1"/>
        </w:numPr>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 xml:space="preserve"> предусмотренном нормативными правовыми актами, принятыми в соответствии со статьей 14 настоящего Федерального закона.</w:t>
      </w:r>
    </w:p>
    <w:p>
      <w:pPr>
        <w:pStyle w:val="Style14"/>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Согласно протоколу подведения итогов от 22.01.2021 года , заявка Заявителя признана несоответствующей требованиям, установленным в документации об электронном аукционе на право заключения муниципального контракта на выполнение работ по корректировке проекта повторного применения и выполнению инженерных изысканий, строительству здания муниципального общеобразовательного учреждения города Костромы на 900 мест на земельном участке, расположенном по адресу: город Кострома, поселок Волжский, Речной проспект, в районе дома 145 (далее - электронный аукцион), на основании части 2 статьи 69, пункта 2 части 6 статьи 69 Федерального закона от 5 апреля 2013 года №44-ФЗ «О контрактной системе в сфере закупок товаров, работ, услуг для обеспечения государственных и муниципальных нужд» (далее- Закон о контрактной системе), по причине несоответствия участника закупки требованиям части 1 статьи 31 Закона о контрактной системе, так как ООО «ПОН» не представлено надлежащее обеспечение заявки на участие в электронном аукционе. В качестве обеспечения заявки на участие в электронном аукционе ООО «ПОН» представлена банковская гарантия от 15 января 2021 года №445417-ВБЦ. Указанная банковская гарантия признана комиссией несоответствующей требованиям, содержавшимся в извещении об осуществлении закупки и документации о закупке, в части срока действия банковской гарантии. В силу требований гражданского законодательства срок действия банковской гарантии относится к существенным условиям договора. В обеспечение заявки предоставлена банковская гарантия со сроком действия по 29 марта 2021 года включительно. При этом, условиями банковской гарантии предусмотрено право изменения срока ее действия Гарантом без согласия Бенефициара, реализация которого (в сторону уменьшения срока) повлечет невозможность выставления Бенефициаром требования по банковской гарантии в случае нарушения участником закупки обязательств, связанных с заключением контракта. Таким образом, банковская гарантия отклоняется комиссией на основании пунктов 2 и 3 части 6 статьи 45 Закона о контрактной системе</w:t>
      </w:r>
    </w:p>
    <w:p>
      <w:pPr>
        <w:pStyle w:val="Style14"/>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Согласно пункту 1, пункту 11 части 1 статьи 31 Закон о контрактной системе при осуществлении закупки заказчик устанавливает следующие единые требования к участникам закупки:</w:t>
      </w:r>
    </w:p>
    <w:p>
      <w:pPr>
        <w:pStyle w:val="Style14"/>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4"/>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отсутствие у участника закупки ограничений для участия в закупках, установленных законодательством Российской Федерации.</w:t>
      </w:r>
    </w:p>
    <w:p>
      <w:pPr>
        <w:pStyle w:val="Style14"/>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Согласно части 8 статьи 31 Закон о контрактной системе комиссия по осуществлению закупок проверяет соответствие участников закупок требованиям, указанным в пункте 1, пункте 10 (за исключением случаев проведения электронных процедур, запроса котировок) части 1 и части 1.1 (при наличии такого требования) настоящей статьи, и в отношении отдельных видов закупок товаров, работ, услуг требованиям, установленным в соответствии с частями 2 и 2.1 настоящей статьи, если такие требования установлены Правительством Российской Федерации. Комиссия по осуществлению закупок вправе проверять соответствие участников закупок требованиям, указанным в пунктах 3 - 5, 7 - 9, 11 части 1 настоящей статьи, а также при проведении электронных процедур, запроса котировок требованию, указанному в пункте 10 части 1 настоящей статьи. Комиссия по осуществлению закупок не вправе возлагать на участников закупок обязанность подтверждать соответствие указанным требованиям, за исключением случаев, если указанные требования установлены Правительством Российской Федерации в соответствии с частями 2 и 2.1 настоящей статьи.</w:t>
      </w:r>
    </w:p>
    <w:p>
      <w:pPr>
        <w:pStyle w:val="Style14"/>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В соответствии с частью 9 статьи 31 Закон о контрактной системе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 участник закупки не соответствует требованиям, указанным в части 1, частях 1.1, 2 и 2.1 (при наличии таких требований) настоящей статьи, или предоставил недостоверную информацию в отношении своего соответствия указанным требованиям.</w:t>
      </w:r>
    </w:p>
    <w:p>
      <w:pPr>
        <w:pStyle w:val="Style14"/>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В соответствии с частью 2 статьи 45 Закона о контрактной системе банковская гарантия должна быть безотзывной и должна содержать:</w:t>
      </w:r>
    </w:p>
    <w:p>
      <w:pPr>
        <w:pStyle w:val="Style14"/>
        <w:numPr>
          <w:ilvl w:val="0"/>
          <w:numId w:val="3"/>
        </w:numPr>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 xml:space="preserve"> сумму банковской гарантии, подлежащую уплате гарантом заказчику в установленных частью 15 статьи 44 настоящего Федерального закона случаях, или сумму банковской гарантии, подлежащую уплате гарантом заказчику в случае ненадлежащего исполнения обязательств принципалом в соответствии со статьей 96 настоящего Федерального закона;</w:t>
      </w:r>
    </w:p>
    <w:p>
      <w:pPr>
        <w:pStyle w:val="Style14"/>
        <w:numPr>
          <w:ilvl w:val="0"/>
          <w:numId w:val="3"/>
        </w:numPr>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 xml:space="preserve"> обязательства принципала, надлежащее исполнение которых обеспечивается банковской гарантией;</w:t>
      </w:r>
    </w:p>
    <w:p>
      <w:pPr>
        <w:pStyle w:val="Style14"/>
        <w:numPr>
          <w:ilvl w:val="0"/>
          <w:numId w:val="3"/>
        </w:numPr>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 xml:space="preserve"> обязанность гаранта уплатить заказчику неустойку в размере 0,1 процента денежной суммы, подлежащей уплате, за каждый день просрочки;</w:t>
      </w:r>
    </w:p>
    <w:p>
      <w:pPr>
        <w:pStyle w:val="Style14"/>
        <w:numPr>
          <w:ilvl w:val="0"/>
          <w:numId w:val="3"/>
        </w:numPr>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 xml:space="preserve">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pPr>
        <w:pStyle w:val="Style14"/>
        <w:numPr>
          <w:ilvl w:val="0"/>
          <w:numId w:val="3"/>
        </w:numPr>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 xml:space="preserve"> срок действия банковской гарантии с учетом требований статей 44 и 96 настоящего Федерального закона;</w:t>
      </w:r>
    </w:p>
    <w:p>
      <w:pPr>
        <w:pStyle w:val="Style14"/>
        <w:numPr>
          <w:ilvl w:val="0"/>
          <w:numId w:val="3"/>
        </w:numPr>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 xml:space="preserve">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pPr>
        <w:pStyle w:val="Style14"/>
        <w:numPr>
          <w:ilvl w:val="0"/>
          <w:numId w:val="3"/>
        </w:numPr>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 xml:space="preserve">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pPr>
        <w:pStyle w:val="Style14"/>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Частью 6 статьи 44 Закон о контрактной системе требование об обеспечении заявки на участие в определении поставщика (подрядчика, исполнителя) в равной мере относится ко всем участникам закупки, за исключением государственных, муниципальных учреждений, которые не предоставляют обеспечение подаваемых ими заявок на участие в определении поставщиков (подрядчиков, исполнителей).</w:t>
      </w:r>
    </w:p>
    <w:p>
      <w:pPr>
        <w:pStyle w:val="Style14"/>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Согласно части 6 статьи 45 Закона о контрактной системе основанием для отказа в принятии банковской гарантии заказчиком является:</w:t>
      </w:r>
    </w:p>
    <w:p>
      <w:pPr>
        <w:pStyle w:val="Style14"/>
        <w:numPr>
          <w:ilvl w:val="0"/>
          <w:numId w:val="5"/>
        </w:numPr>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 xml:space="preserve"> отсутствие информации о банковской гарантии в предусмотренных настоящей статьей реестрах банковских гарантий;</w:t>
      </w:r>
    </w:p>
    <w:p>
      <w:pPr>
        <w:pStyle w:val="Style14"/>
        <w:numPr>
          <w:ilvl w:val="0"/>
          <w:numId w:val="5"/>
        </w:numPr>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 xml:space="preserve"> несоответствие банковской гарантии условиям, указанным в частях 2 и 3 настоящей статьи;</w:t>
      </w:r>
    </w:p>
    <w:p>
      <w:pPr>
        <w:pStyle w:val="Style14"/>
        <w:numPr>
          <w:ilvl w:val="0"/>
          <w:numId w:val="5"/>
        </w:numPr>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 xml:space="preserve"> несоответствие банковской гарантии требованиям, содержащимся в извещении об осуществлении закупки, приглашении принять участие в определении поставщика (подрядчика, исполнителя), документации о закупке, проекте контракта, который заключается с единственным поставщиком (подрядчиком, исполнителем).</w:t>
      </w:r>
    </w:p>
    <w:p>
      <w:pPr>
        <w:pStyle w:val="Style14"/>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Таким образом, законодательством Российской Федерации к участникам закупок предъявлено обязательное требование об обеспечении заявок на участие в закупках (за исключением случаев, установленных статьей 44 Закона о контрактной системе.</w:t>
      </w:r>
    </w:p>
    <w:p>
      <w:pPr>
        <w:pStyle w:val="Style14"/>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Одним из требований к банковской гарантии в соответствии с частью 2 статьи 45 Закона о контрактной системе является ее срок.</w:t>
      </w:r>
    </w:p>
    <w:p>
      <w:pPr>
        <w:pStyle w:val="Style14"/>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К заявке Заявителя была приложена банковская гарантия № 445417-ВБЦ от 15 января 2021 года, срок действия которой установлен до 29.03.2021 года.</w:t>
      </w:r>
    </w:p>
    <w:p>
      <w:pPr>
        <w:pStyle w:val="Style14"/>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Однако, банковская гарантия содержит условие о том, что гарантия может быть изменена Гарантом без согласия Бенефициара в части увеличения суммы и/или изменения срока действия Гарантии.</w:t>
      </w:r>
    </w:p>
    <w:p>
      <w:pPr>
        <w:pStyle w:val="Style14"/>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Комиссия Костромского У ФАС России приходит к выводу, что данное положение банковской гарантии допускает возможность сокращения срока действия банковской гарантии, таким образом, срок банковской гарантии может не соответствовать требованиям документации и Законодательству о контрактной системе, следовательно, соглашение по сроку не достигнуто.</w:t>
      </w:r>
    </w:p>
    <w:p>
      <w:pPr>
        <w:pStyle w:val="Style14"/>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На основании изложенного, учитывая положения части 1 статьи 27, пункта 1 и пункта 11 части 1 статьи 31, части 6 статьи 44, части 6 статьи 45 Закона о контрактной системе, в случае выявления в соответствии с частью 6 статьи 45 Закона о контрактной системе несоответствий банковской гарантии, предоставленной участником закупки в качестве обеспечения заявки, комиссией заказчика принято решение об отклонении заявки на основании пункта 2 части 6 статьи 69 Закона о контрактной системе по причине несоответствия участника закупки требованиям части 1 статьи 31 Закона о контрактной системе, поскольку, принимая во внимание, что законодательством Российской Федерации к участникам закупок предъявлено требование об обеспечении заявок, в рассматриваемом случае участник является не предоставившим надлежащее обеспечение заявки.</w:t>
      </w:r>
    </w:p>
    <w:p>
      <w:pPr>
        <w:pStyle w:val="Style14"/>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Данная позиция основывается на Письме Минфина России от 30 июля 2019 г. № 24-05- 05/57198 «Информационное письмо по вопросу отклонения заявки в случае выявления несоответствия банковской гарантии, представленной участником закупки в качестве обеспечения заявки на участие в закупке, требованиям, установленным в соответствии с Федеральным законом от 05.04.2013 № 44-ФЗ».</w:t>
      </w:r>
    </w:p>
    <w:p>
      <w:pPr>
        <w:pStyle w:val="Style14"/>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Согласно пункту 2 части 6 статьи 45 Закона о контрактной системе основанием для отказа в принятии банковской гарантии заказчиком является несоответствие банковской гарантии условиям, указанным в части 2 и 3 статьи 45 Закона о контрактной системе.</w:t>
      </w:r>
    </w:p>
    <w:p>
      <w:pPr>
        <w:pStyle w:val="Style14"/>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Банковская гарантия содержит условия, при которых она не обеспечивает обязательство, вызывая тем самым у заказчика обоснованные претензии относительно ее обеспечительной функции применительно к положениям части 2 статьи 45 Закона о контрактной системе.</w:t>
      </w:r>
    </w:p>
    <w:p>
      <w:pPr>
        <w:pStyle w:val="Style14"/>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Таким образом, заявка ООО «ПОН» не соответствует требованиям аукционной документации и Закона о контрактной системе.</w:t>
      </w:r>
    </w:p>
    <w:p>
      <w:pPr>
        <w:pStyle w:val="Style14"/>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Признание заявки ООО «ПОН» несоответствующей требованиям аукционной документации и Закона о контрактной системе не противоречит требованиям Закона о контрактной системе.</w:t>
      </w:r>
    </w:p>
    <w:p>
      <w:pPr>
        <w:pStyle w:val="Style14"/>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Постановлением Правительства Российской Федерации от 30.05.2018 № 626 утверждены правила взаимодействия участника закупки, оператора электронной площадки и заказчика в случае предоставления участником закупки банковской гарантии в качестве обеспечения заявки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(далее - Правила).</w:t>
      </w:r>
    </w:p>
    <w:p>
      <w:pPr>
        <w:pStyle w:val="Style14"/>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В соответствии с положениями Правил участник закупки в случае предоставления обеспечения заявки на участие в электронной процедуре в виде банковской гарантии одновременно с подачей заявки на участие в электронной процедуре направляет оператору электронной площадки посредством аппаратно-программного комплекса электронной площадки информацию об уникальном номере реестровой записи из реестра банковских гарантий, предусмотренного частью 8 статьи 45 Закона.</w:t>
      </w:r>
    </w:p>
    <w:p>
      <w:pPr>
        <w:pStyle w:val="Style14"/>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Оператор электронной площадки в целях установления наличия банковской гарантии в реестре банковских гарантий осуществляет взаимодействие с реестром банковских гарантий в соответствии с требованиями, установленными в соответствии с частью 2 статьи 24.1 Федерального закона.</w:t>
      </w:r>
    </w:p>
    <w:p>
      <w:pPr>
        <w:pStyle w:val="Style14"/>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Пунктом 4 Правил предусмотрено, что при направлении в порядке и случаях, которые установлены Федеральным законом, вторых частей заявок на участие в электронной процедуре оператор электронной площадки посредством аппаратно-программного комплекса электронной площадки направляет заказчику информацию об уникальном номере реестровой записи из реестра банковских гарантий, представленную соответствующим участником закупки.</w:t>
      </w:r>
    </w:p>
    <w:p>
      <w:pPr>
        <w:pStyle w:val="Style14"/>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В силу части 19 статьи 68 Закона о контрактной системе в течение одного часа после размещения на электронной площадке протокола, указанного в части 18 настоящей статьи, оператор электронной площадки обязан направить заказчику указанный протокол и вторые части заявок на участие в таком аукционе, поданных его участниками, предложения о цене контракта которых при ранжировании в соответствии с частью 18 настоящей статьи получили первые десять порядковых номеров, или в случае, если в таком аукционе принимали участие менее чем десять его участников, вторые части заявок на участие в таком аукционе, поданных его участниками, а также информацию и электронные документы этих участников, предусмотренные частью 11 статьи 24.1 настоящего Федерального закона.</w:t>
      </w:r>
    </w:p>
    <w:p>
      <w:pPr>
        <w:pStyle w:val="Style14"/>
        <w:widowControl w:val="0"/>
        <w:keepNext w:val="0"/>
        <w:keepLines w:val="0"/>
        <w:shd w:val="clear" w:color="auto" w:fill="auto"/>
        <w:bidi w:val="0"/>
        <w:spacing w:before="0" w:after="0" w:line="274" w:lineRule="exact"/>
        <w:ind w:left="20" w:right="20" w:firstLine="580"/>
      </w:pPr>
      <w:r>
        <w:rPr>
          <w:lang w:val="ru-RU" w:eastAsia="ru-RU" w:bidi="ru-RU"/>
          <w:w w:val="100"/>
          <w:spacing w:val="0"/>
          <w:color w:val="000000"/>
          <w:position w:val="0"/>
        </w:rPr>
        <w:t>Таким образом, сведения о банковской гарантии (о реестровом номере банковской гарантии) видны Заказчику только со второй частью заявки.</w:t>
      </w:r>
    </w:p>
    <w:p>
      <w:pPr>
        <w:pStyle w:val="Style14"/>
        <w:widowControl w:val="0"/>
        <w:keepNext w:val="0"/>
        <w:keepLines w:val="0"/>
        <w:shd w:val="clear" w:color="auto" w:fill="auto"/>
        <w:bidi w:val="0"/>
        <w:spacing w:before="0" w:after="0" w:line="274" w:lineRule="exact"/>
        <w:ind w:left="0" w:right="0" w:firstLine="580"/>
      </w:pPr>
      <w:r>
        <w:rPr>
          <w:lang w:val="ru-RU" w:eastAsia="ru-RU" w:bidi="ru-RU"/>
          <w:w w:val="100"/>
          <w:spacing w:val="0"/>
          <w:color w:val="000000"/>
          <w:position w:val="0"/>
        </w:rPr>
        <w:t>Комиссия Костромского У ФАС России изучив положения документации и заявки участников приходит к выводу об отсутствии в действиях аукционной комиссии нарушений Закона о контрактной системе.</w:t>
      </w:r>
    </w:p>
    <w:p>
      <w:pPr>
        <w:pStyle w:val="Style14"/>
        <w:widowControl w:val="0"/>
        <w:keepNext w:val="0"/>
        <w:keepLines w:val="0"/>
        <w:shd w:val="clear" w:color="auto" w:fill="auto"/>
        <w:bidi w:val="0"/>
        <w:spacing w:before="0" w:after="0" w:line="274" w:lineRule="exact"/>
        <w:ind w:left="0" w:right="0" w:firstLine="580"/>
      </w:pPr>
      <w:r>
        <w:rPr>
          <w:lang w:val="ru-RU" w:eastAsia="ru-RU" w:bidi="ru-RU"/>
          <w:w w:val="100"/>
          <w:spacing w:val="0"/>
          <w:color w:val="000000"/>
          <w:position w:val="0"/>
        </w:rPr>
        <w:t>Таким образом, жалоба заявителя признана необоснованной.</w:t>
      </w:r>
    </w:p>
    <w:p>
      <w:pPr>
        <w:pStyle w:val="Style14"/>
        <w:widowControl w:val="0"/>
        <w:keepNext w:val="0"/>
        <w:keepLines w:val="0"/>
        <w:shd w:val="clear" w:color="auto" w:fill="auto"/>
        <w:bidi w:val="0"/>
        <w:spacing w:before="0" w:after="0" w:line="274" w:lineRule="exact"/>
        <w:ind w:left="0" w:right="0" w:firstLine="580"/>
      </w:pPr>
      <w:r>
        <w:rPr>
          <w:lang w:val="ru-RU" w:eastAsia="ru-RU" w:bidi="ru-RU"/>
          <w:w w:val="100"/>
          <w:spacing w:val="0"/>
          <w:color w:val="000000"/>
          <w:position w:val="0"/>
        </w:rPr>
        <w:t>На основании изложенного, руководствуясь статьей 106 Закона о контрактной системе, Комиссия Костромского У ФАС России по контролю в сфере закупок,</w:t>
      </w:r>
    </w:p>
    <w:p>
      <w:pPr>
        <w:pStyle w:val="Style14"/>
        <w:widowControl w:val="0"/>
        <w:keepNext w:val="0"/>
        <w:keepLines w:val="0"/>
        <w:shd w:val="clear" w:color="auto" w:fill="auto"/>
        <w:bidi w:val="0"/>
        <w:jc w:val="left"/>
        <w:spacing w:before="0" w:after="0" w:line="274" w:lineRule="exact"/>
        <w:ind w:left="4640" w:right="0" w:firstLine="0"/>
      </w:pPr>
      <w:r>
        <w:rPr>
          <w:lang w:val="ru-RU" w:eastAsia="ru-RU" w:bidi="ru-RU"/>
          <w:w w:val="100"/>
          <w:spacing w:val="0"/>
          <w:color w:val="000000"/>
          <w:position w:val="0"/>
        </w:rPr>
        <w:t>РЕШИЛА:</w:t>
      </w:r>
    </w:p>
    <w:p>
      <w:pPr>
        <w:pStyle w:val="Style14"/>
        <w:widowControl w:val="0"/>
        <w:keepNext w:val="0"/>
        <w:keepLines w:val="0"/>
        <w:shd w:val="clear" w:color="auto" w:fill="auto"/>
        <w:bidi w:val="0"/>
        <w:jc w:val="left"/>
        <w:spacing w:before="0" w:after="0" w:line="274" w:lineRule="exact"/>
        <w:ind w:left="0" w:right="0" w:firstLine="720"/>
      </w:pPr>
      <w:r>
        <w:rPr>
          <w:lang w:val="ru-RU" w:eastAsia="ru-RU" w:bidi="ru-RU"/>
          <w:w w:val="100"/>
          <w:spacing w:val="0"/>
          <w:color w:val="000000"/>
          <w:position w:val="0"/>
        </w:rPr>
        <w:t>Признать жалобу ООО «ПОН» необоснованной.</w:t>
      </w:r>
    </w:p>
    <w:p>
      <w:pPr>
        <w:pStyle w:val="Style14"/>
        <w:widowControl w:val="0"/>
        <w:keepNext w:val="0"/>
        <w:keepLines w:val="0"/>
        <w:shd w:val="clear" w:color="auto" w:fill="auto"/>
        <w:bidi w:val="0"/>
        <w:jc w:val="left"/>
        <w:spacing w:before="0" w:after="815" w:line="274" w:lineRule="exact"/>
        <w:ind w:left="0" w:right="0" w:firstLine="720"/>
      </w:pPr>
      <w:r>
        <w:rPr>
          <w:lang w:val="ru-RU" w:eastAsia="ru-RU" w:bidi="ru-RU"/>
          <w:w w:val="100"/>
          <w:spacing w:val="0"/>
          <w:color w:val="000000"/>
          <w:position w:val="0"/>
        </w:rPr>
        <w:t>Решение может быть обжаловано заинтересованным лицом в арбитражный суд в течение трех месяцев в порядке, установленном законодательством Российской Федерации.</w:t>
      </w:r>
    </w:p>
    <w:p>
      <w:pPr>
        <w:pStyle w:val="Style14"/>
        <w:widowControl w:val="0"/>
        <w:keepNext w:val="0"/>
        <w:keepLines w:val="0"/>
        <w:shd w:val="clear" w:color="auto" w:fill="auto"/>
        <w:bidi w:val="0"/>
        <w:jc w:val="left"/>
        <w:spacing w:before="0" w:after="532" w:line="230" w:lineRule="exact"/>
        <w:ind w:left="0" w:right="0" w:firstLine="0"/>
      </w:pPr>
      <w:r>
        <w:rPr>
          <w:lang w:val="ru-RU" w:eastAsia="ru-RU" w:bidi="ru-RU"/>
          <w:w w:val="100"/>
          <w:spacing w:val="0"/>
          <w:color w:val="000000"/>
          <w:position w:val="0"/>
        </w:rPr>
        <w:t>Председателя Комиссии</w:t>
      </w:r>
    </w:p>
    <w:p>
      <w:pPr>
        <w:pStyle w:val="Style14"/>
        <w:widowControl w:val="0"/>
        <w:keepNext w:val="0"/>
        <w:keepLines w:val="0"/>
        <w:shd w:val="clear" w:color="auto" w:fill="auto"/>
        <w:bidi w:val="0"/>
        <w:jc w:val="left"/>
        <w:spacing w:before="0" w:after="0" w:line="230" w:lineRule="exact"/>
        <w:ind w:left="0" w:right="0" w:firstLine="0"/>
      </w:pPr>
      <w:r>
        <w:rPr>
          <w:lang w:val="ru-RU" w:eastAsia="ru-RU" w:bidi="ru-RU"/>
          <w:w w:val="100"/>
          <w:spacing w:val="0"/>
          <w:color w:val="000000"/>
          <w:position w:val="0"/>
        </w:rPr>
        <w:t>Члены Комиссии</w:t>
      </w:r>
    </w:p>
    <w:sectPr>
      <w:type w:val="continuous"/>
      <w:pgSz w:w="11906" w:h="16838"/>
      <w:pgMar w:top="827" w:left="1039" w:right="1010" w:bottom="109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8"/>
      <w:szCs w:val="18"/>
      <w:rFonts w:ascii="Times New Roman" w:eastAsia="Times New Roman" w:hAnsi="Times New Roman" w:cs="Times New Roman"/>
    </w:rPr>
  </w:style>
  <w:style w:type="character" w:customStyle="1" w:styleId="CharStyle8">
    <w:name w:val="Основной текст (4)_"/>
    <w:basedOn w:val="DefaultParagraphFont"/>
    <w:link w:val="Style7"/>
    <w:rPr>
      <w:lang w:val="en-US" w:eastAsia="en-US" w:bidi="en-US"/>
      <w:b w:val="0"/>
      <w:bCs w:val="0"/>
      <w:i w:val="0"/>
      <w:iCs w:val="0"/>
      <w:u w:val="none"/>
      <w:strike w:val="0"/>
      <w:smallCaps w:val="0"/>
      <w:rFonts w:ascii="Times New Roman" w:eastAsia="Times New Roman" w:hAnsi="Times New Roman" w:cs="Times New Roman"/>
    </w:rPr>
  </w:style>
  <w:style w:type="character" w:customStyle="1" w:styleId="CharStyle9">
    <w:name w:val="Основной текст (4)"/>
    <w:basedOn w:val="CharStyle8"/>
    <w:rPr>
      <w:u w:val="single"/>
      <w:sz w:val="24"/>
      <w:szCs w:val="24"/>
      <w:w w:val="100"/>
      <w:spacing w:val="0"/>
      <w:color w:val="000000"/>
      <w:position w:val="0"/>
    </w:rPr>
  </w:style>
  <w:style w:type="character" w:customStyle="1" w:styleId="CharStyle10">
    <w:name w:val="Основной текст (4) + Курсив"/>
    <w:basedOn w:val="CharStyle8"/>
    <w:rPr>
      <w:i/>
      <w:iCs/>
      <w:u w:val="single"/>
      <w:sz w:val="24"/>
      <w:szCs w:val="24"/>
      <w:w w:val="100"/>
      <w:spacing w:val="0"/>
      <w:color w:val="000000"/>
      <w:position w:val="0"/>
    </w:rPr>
  </w:style>
  <w:style w:type="character" w:customStyle="1" w:styleId="CharStyle11">
    <w:name w:val="Основной текст (4)"/>
    <w:basedOn w:val="CharStyle8"/>
    <w:rPr>
      <w:sz w:val="24"/>
      <w:szCs w:val="24"/>
      <w:w w:val="100"/>
      <w:spacing w:val="0"/>
      <w:color w:val="000000"/>
      <w:position w:val="0"/>
    </w:rPr>
  </w:style>
  <w:style w:type="character" w:customStyle="1" w:styleId="CharStyle12">
    <w:name w:val="Основной текст (4)"/>
    <w:basedOn w:val="CharStyle8"/>
    <w:rPr>
      <w:u w:val="single"/>
      <w:sz w:val="24"/>
      <w:szCs w:val="24"/>
      <w:w w:val="100"/>
      <w:spacing w:val="0"/>
      <w:color w:val="000000"/>
      <w:position w:val="0"/>
    </w:rPr>
  </w:style>
  <w:style w:type="character" w:customStyle="1" w:styleId="CharStyle13">
    <w:name w:val="Основной текст (4) + Курсив"/>
    <w:basedOn w:val="CharStyle8"/>
    <w:rPr>
      <w:i/>
      <w:iCs/>
      <w:u w:val="single"/>
      <w:sz w:val="24"/>
      <w:szCs w:val="24"/>
      <w:w w:val="100"/>
      <w:spacing w:val="0"/>
      <w:color w:val="000000"/>
      <w:position w:val="0"/>
    </w:rPr>
  </w:style>
  <w:style w:type="character" w:customStyle="1" w:styleId="CharStyle15">
    <w:name w:val="Основной текст_"/>
    <w:basedOn w:val="DefaultParagraphFont"/>
    <w:link w:val="Style14"/>
    <w:rPr>
      <w:b w:val="0"/>
      <w:bCs w:val="0"/>
      <w:i w:val="0"/>
      <w:iCs w:val="0"/>
      <w:u w:val="none"/>
      <w:strike w:val="0"/>
      <w:smallCaps w:val="0"/>
      <w:sz w:val="23"/>
      <w:szCs w:val="23"/>
      <w:rFonts w:ascii="Times New Roman" w:eastAsia="Times New Roman" w:hAnsi="Times New Roman" w:cs="Times New Roman"/>
    </w:rPr>
  </w:style>
  <w:style w:type="character" w:customStyle="1" w:styleId="CharStyle16">
    <w:name w:val="Основной текст"/>
    <w:basedOn w:val="CharStyle15"/>
    <w:rPr>
      <w:lang w:val="en-US" w:eastAsia="en-US" w:bidi="en-US"/>
      <w:u w:val="single"/>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20" w:line="281"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20" w:after="120" w:line="23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jc w:val="both"/>
      <w:spacing w:before="120" w:after="180" w:line="0" w:lineRule="exact"/>
    </w:pPr>
    <w:rPr>
      <w:lang w:val="en-US" w:eastAsia="en-US" w:bidi="en-US"/>
      <w:b w:val="0"/>
      <w:bCs w:val="0"/>
      <w:i w:val="0"/>
      <w:iCs w:val="0"/>
      <w:u w:val="none"/>
      <w:strike w:val="0"/>
      <w:smallCaps w:val="0"/>
      <w:rFonts w:ascii="Times New Roman" w:eastAsia="Times New Roman" w:hAnsi="Times New Roman" w:cs="Times New Roman"/>
    </w:rPr>
  </w:style>
  <w:style w:type="paragraph" w:customStyle="1" w:styleId="Style14">
    <w:name w:val="Основной текст"/>
    <w:basedOn w:val="Normal"/>
    <w:link w:val="CharStyle15"/>
    <w:pPr>
      <w:widowControl w:val="0"/>
      <w:shd w:val="clear" w:color="auto" w:fill="FFFFFF"/>
      <w:jc w:val="both"/>
      <w:spacing w:line="281" w:lineRule="exact"/>
    </w:pPr>
    <w:rPr>
      <w:b w:val="0"/>
      <w:bCs w:val="0"/>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