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46" w:y="4178"/>
        <w:widowControl w:val="0"/>
        <w:keepNext w:val="0"/>
        <w:keepLines w:val="0"/>
        <w:shd w:val="clear" w:color="auto" w:fill="auto"/>
        <w:bidi w:val="0"/>
        <w:jc w:val="left"/>
        <w:spacing w:before="0" w:after="0" w:line="21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334" w:after="89"/>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184"/>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806"/>
        <w:ind w:left="0" w:right="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e-mail: to6</w:t>
      </w:r>
      <w:r>
        <w:rPr>
          <w:rStyle w:val="CharStyle14"/>
        </w:rPr>
        <w:t>1 Л</w:t>
      </w:r>
      <w:r>
        <w:rPr>
          <w:rStyle w:val="CharStyle14"/>
          <w:lang w:val="en-US" w:eastAsia="en-US" w:bidi="en-US"/>
        </w:rPr>
        <w:t>fas.gov.ru</w:t>
      </w:r>
    </w:p>
    <w:p>
      <w:pPr>
        <w:pStyle w:val="Style3"/>
        <w:widowControl w:val="0"/>
        <w:keepNext w:val="0"/>
        <w:keepLines w:val="0"/>
        <w:shd w:val="clear" w:color="auto" w:fill="auto"/>
        <w:bidi w:val="0"/>
        <w:jc w:val="left"/>
        <w:spacing w:before="0" w:after="0" w:line="230" w:lineRule="exact"/>
        <w:ind w:left="0" w:right="0" w:firstLine="0"/>
      </w:pPr>
      <w:r>
        <w:rPr>
          <w:rStyle w:val="CharStyle16"/>
        </w:rPr>
        <w:t xml:space="preserve">На </w:t>
      </w:r>
      <w:r>
        <w:rPr>
          <w:rStyle w:val="CharStyle16"/>
          <w:lang w:val="en-US" w:eastAsia="en-US" w:bidi="en-US"/>
        </w:rPr>
        <w:t>№</w:t>
      </w:r>
    </w:p>
    <w:p>
      <w:pPr>
        <w:pStyle w:val="Style9"/>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Общество с ограниченной ответственностью «Люксанта» (далее - Заявитель-1)</w:t>
      </w:r>
    </w:p>
    <w:p>
      <w:pPr>
        <w:pStyle w:val="Style3"/>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ул. Донецкая, д. 16, каб.211,</w:t>
      </w:r>
    </w:p>
    <w:p>
      <w:pPr>
        <w:pStyle w:val="Style3"/>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г. Волгоград</w:t>
      </w:r>
    </w:p>
    <w:p>
      <w:pPr>
        <w:pStyle w:val="Style3"/>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400131</w:t>
      </w:r>
    </w:p>
    <w:p>
      <w:pPr>
        <w:pStyle w:val="Style3"/>
        <w:widowControl w:val="0"/>
        <w:keepNext w:val="0"/>
        <w:keepLines w:val="0"/>
        <w:shd w:val="clear" w:color="auto" w:fill="auto"/>
        <w:bidi w:val="0"/>
        <w:jc w:val="left"/>
        <w:spacing w:before="0" w:after="246" w:line="281" w:lineRule="exact"/>
        <w:ind w:left="20" w:right="0" w:firstLine="0"/>
      </w:pPr>
      <w:r>
        <w:rPr>
          <w:lang w:val="en-US" w:eastAsia="en-US" w:bidi="en-US"/>
          <w:w w:val="100"/>
          <w:spacing w:val="0"/>
          <w:color w:val="000000"/>
          <w:position w:val="0"/>
        </w:rPr>
        <w:t xml:space="preserve">Email: </w:t>
      </w:r>
      <w:r>
        <w:fldChar w:fldCharType="begin"/>
      </w:r>
      <w:r>
        <w:rPr>
          <w:rStyle w:val="CharStyle17"/>
        </w:rPr>
        <w:instrText> HYPERLINK "mailto:Luxanta@vandex.ru" </w:instrText>
      </w:r>
      <w:r>
        <w:fldChar w:fldCharType="separate"/>
      </w:r>
      <w:r>
        <w:rPr>
          <w:rStyle w:val="Hyperlink"/>
        </w:rPr>
        <w:t>Luxanta@vandex.ru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3444259804</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Акционерное общество </w:t>
      </w:r>
      <w:r>
        <w:rPr>
          <w:rStyle w:val="CharStyle18"/>
          <w:b/>
          <w:bCs/>
        </w:rPr>
        <w:t>«АЛА</w:t>
      </w:r>
      <w:r>
        <w:rPr>
          <w:lang w:val="ru-RU" w:eastAsia="ru-RU" w:bidi="ru-RU"/>
          <w:w w:val="100"/>
          <w:spacing w:val="0"/>
          <w:color w:val="000000"/>
          <w:position w:val="0"/>
        </w:rPr>
        <w:t xml:space="preserve"> Инжиниринг»</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Заявитель-2)</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пер. Колодезный, д.З, стр.25,</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 Москва</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107076</w:t>
      </w:r>
    </w:p>
    <w:p>
      <w:pPr>
        <w:pStyle w:val="Style3"/>
        <w:widowControl w:val="0"/>
        <w:keepNext w:val="0"/>
        <w:keepLines w:val="0"/>
        <w:shd w:val="clear" w:color="auto" w:fill="auto"/>
        <w:bidi w:val="0"/>
        <w:jc w:val="left"/>
        <w:spacing w:before="0" w:after="0" w:line="277" w:lineRule="exact"/>
        <w:ind w:left="20" w:right="0" w:firstLine="0"/>
        <w:sectPr>
          <w:footnotePr>
            <w:pos w:val="pageBottom"/>
            <w:numFmt w:val="decimal"/>
            <w:numRestart w:val="continuous"/>
          </w:footnotePr>
          <w:type w:val="continuous"/>
          <w:pgSz w:w="11906" w:h="16838"/>
          <w:pgMar w:top="325" w:left="916" w:right="2522" w:bottom="354" w:header="0" w:footer="3" w:gutter="0"/>
          <w:rtlGutter w:val="0"/>
          <w:cols w:num="2" w:space="720" w:equalWidth="0">
            <w:col w:w="4748" w:space="331"/>
            <w:col w:w="3388"/>
          </w:cols>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"mailto:info@aaa-eng.ru" </w:instrText>
      </w:r>
      <w:r>
        <w:fldChar w:fldCharType="separate"/>
      </w:r>
      <w:r>
        <w:rPr>
          <w:rStyle w:val="Hyperlink"/>
        </w:rPr>
        <w:t>info@aaa-eng.ru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(495) 755-22-27 ИНН: 7730703545</w:t>
      </w: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274" w:lineRule="exact"/>
        <w:ind w:left="4960" w:right="840" w:firstLine="0"/>
      </w:pPr>
      <w:r>
        <w:rPr>
          <w:lang w:val="ru-RU" w:eastAsia="ru-RU" w:bidi="ru-RU"/>
          <w:w w:val="100"/>
          <w:spacing w:val="0"/>
          <w:color w:val="000000"/>
          <w:position w:val="0"/>
        </w:rPr>
        <w:t>Муниципальное казенное учреждение Зерноградского городского поселения «Управление жилищно- коммунального хозяйства, архитектуры, имущественных отношений, гражданской обороны и чрезвычайных ситуаций»</w:t>
      </w:r>
    </w:p>
    <w:p>
      <w:pPr>
        <w:pStyle w:val="Style9"/>
        <w:widowControl w:val="0"/>
        <w:keepNext w:val="0"/>
        <w:keepLines w:val="0"/>
        <w:shd w:val="clear" w:color="auto" w:fill="auto"/>
        <w:bidi w:val="0"/>
        <w:jc w:val="left"/>
        <w:spacing w:before="0" w:after="0" w:line="274" w:lineRule="exact"/>
        <w:ind w:left="4960" w:right="0" w:firstLine="0"/>
      </w:pPr>
      <w:r>
        <w:rPr>
          <w:lang w:val="ru-RU" w:eastAsia="ru-RU" w:bidi="ru-RU"/>
          <w:w w:val="100"/>
          <w:spacing w:val="0"/>
          <w:color w:val="000000"/>
          <w:position w:val="0"/>
        </w:rPr>
        <w:t>(далее - Заказчик)</w:t>
      </w:r>
    </w:p>
    <w:p>
      <w:pPr>
        <w:pStyle w:val="Style3"/>
        <w:widowControl w:val="0"/>
        <w:keepNext w:val="0"/>
        <w:keepLines w:val="0"/>
        <w:shd w:val="clear" w:color="auto" w:fill="auto"/>
        <w:bidi w:val="0"/>
        <w:jc w:val="left"/>
        <w:spacing w:before="0" w:after="0" w:line="274" w:lineRule="exact"/>
        <w:ind w:left="4960" w:right="0" w:firstLine="0"/>
      </w:pPr>
      <w:r>
        <w:rPr>
          <w:lang w:val="ru-RU" w:eastAsia="ru-RU" w:bidi="ru-RU"/>
          <w:w w:val="100"/>
          <w:spacing w:val="0"/>
          <w:color w:val="000000"/>
          <w:position w:val="0"/>
        </w:rPr>
        <w:t>ул. Мира, д. 16, г. Зерноград,</w:t>
      </w:r>
    </w:p>
    <w:p>
      <w:pPr>
        <w:pStyle w:val="Style3"/>
        <w:widowControl w:val="0"/>
        <w:keepNext w:val="0"/>
        <w:keepLines w:val="0"/>
        <w:shd w:val="clear" w:color="auto" w:fill="auto"/>
        <w:bidi w:val="0"/>
        <w:jc w:val="left"/>
        <w:spacing w:before="0" w:after="0" w:line="274" w:lineRule="exact"/>
        <w:ind w:left="4960" w:right="840" w:firstLine="0"/>
      </w:pPr>
      <w:r>
        <w:rPr>
          <w:lang w:val="ru-RU" w:eastAsia="ru-RU" w:bidi="ru-RU"/>
          <w:w w:val="100"/>
          <w:spacing w:val="0"/>
          <w:color w:val="000000"/>
          <w:position w:val="0"/>
        </w:rPr>
        <w:t>Ростовская область 347740</w:t>
      </w:r>
    </w:p>
    <w:p>
      <w:pPr>
        <w:pStyle w:val="Style3"/>
        <w:widowControl w:val="0"/>
        <w:keepNext w:val="0"/>
        <w:keepLines w:val="0"/>
        <w:shd w:val="clear" w:color="auto" w:fill="auto"/>
        <w:bidi w:val="0"/>
        <w:jc w:val="left"/>
        <w:spacing w:before="0" w:after="237" w:line="274" w:lineRule="exact"/>
        <w:ind w:left="4960" w:right="840" w:firstLine="0"/>
      </w:pPr>
      <w:r>
        <w:rPr>
          <w:lang w:val="en-US" w:eastAsia="en-US" w:bidi="en-US"/>
          <w:w w:val="100"/>
          <w:spacing w:val="0"/>
          <w:color w:val="000000"/>
          <w:position w:val="0"/>
        </w:rPr>
        <w:t xml:space="preserve">Email: </w:t>
      </w:r>
      <w:r>
        <w:fldChar w:fldCharType="begin"/>
      </w:r>
      <w:r>
        <w:rPr>
          <w:rStyle w:val="CharStyle17"/>
        </w:rPr>
        <w:instrText> HYPERLINK "mailto:mkuzerDOgi-ad@mail.ru" </w:instrText>
      </w:r>
      <w:r>
        <w:fldChar w:fldCharType="separate"/>
      </w:r>
      <w:r>
        <w:rPr>
          <w:rStyle w:val="Hyperlink"/>
        </w:rPr>
        <w:t>mkuzerDOgi-ad@mail.ru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594-01-76</w:t>
      </w:r>
    </w:p>
    <w:p>
      <w:pPr>
        <w:pStyle w:val="Style9"/>
        <w:widowControl w:val="0"/>
        <w:keepNext w:val="0"/>
        <w:keepLines w:val="0"/>
        <w:shd w:val="clear" w:color="auto" w:fill="auto"/>
        <w:bidi w:val="0"/>
        <w:jc w:val="left"/>
        <w:spacing w:before="0" w:after="0" w:line="277" w:lineRule="exact"/>
        <w:ind w:left="4960" w:right="0" w:firstLine="0"/>
      </w:pPr>
      <w:r>
        <w:rPr>
          <w:lang w:val="ru-RU" w:eastAsia="ru-RU" w:bidi="ru-RU"/>
          <w:w w:val="100"/>
          <w:spacing w:val="0"/>
          <w:color w:val="000000"/>
          <w:position w:val="0"/>
        </w:rPr>
        <w:t>ООО «РТС-тендер»</w:t>
      </w:r>
    </w:p>
    <w:p>
      <w:pPr>
        <w:pStyle w:val="Style9"/>
        <w:widowControl w:val="0"/>
        <w:keepNext w:val="0"/>
        <w:keepLines w:val="0"/>
        <w:shd w:val="clear" w:color="auto" w:fill="auto"/>
        <w:bidi w:val="0"/>
        <w:jc w:val="left"/>
        <w:spacing w:before="0" w:after="0" w:line="277" w:lineRule="exact"/>
        <w:ind w:left="4960" w:right="84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264" w:line="230" w:lineRule="exact"/>
        <w:ind w:left="4960" w:right="0" w:firstLine="0"/>
      </w:pPr>
      <w:r>
        <w:rPr>
          <w:lang w:val="en-US" w:eastAsia="en-US" w:bidi="en-US"/>
          <w:w w:val="100"/>
          <w:spacing w:val="0"/>
          <w:color w:val="000000"/>
          <w:position w:val="0"/>
        </w:rPr>
        <w:t xml:space="preserve">Email: </w:t>
      </w:r>
      <w:r>
        <w:fldChar w:fldCharType="begin"/>
      </w:r>
      <w:r>
        <w:rPr>
          <w:rStyle w:val="CharStyle17"/>
        </w:rPr>
        <w:instrText> HYPERLINK "mailto:ko@rts-tender.ru" </w:instrText>
      </w:r>
      <w:r>
        <w:fldChar w:fldCharType="separate"/>
      </w:r>
      <w:r>
        <w:rPr>
          <w:rStyle w:val="Hyperlink"/>
        </w:rPr>
        <w:t>ko@rts-tender.ru</w:t>
      </w:r>
      <w:r>
        <w:fldChar w:fldCharType="end"/>
      </w:r>
    </w:p>
    <w:p>
      <w:pPr>
        <w:pStyle w:val="Style9"/>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РЕШЕНИЕ по результатам рассмотрения дела №061/06/54.3-209,213/2021</w:t>
      </w:r>
    </w:p>
    <w:p>
      <w:pPr>
        <w:pStyle w:val="Style3"/>
        <w:numPr>
          <w:ilvl w:val="0"/>
          <w:numId w:val="1"/>
        </w:numPr>
        <w:tabs>
          <w:tab w:leader="none" w:pos="8172" w:val="right"/>
          <w:tab w:leader="none" w:pos="9878" w:val="right"/>
          <w:tab w:leader="none" w:pos="8029" w:val="left"/>
        </w:tabs>
        <w:widowControl w:val="0"/>
        <w:keepNext w:val="0"/>
        <w:keepLines w:val="0"/>
        <w:shd w:val="clear" w:color="auto" w:fill="auto"/>
        <w:bidi w:val="0"/>
        <w:jc w:val="both"/>
        <w:spacing w:before="0" w:after="232" w:line="274" w:lineRule="exact"/>
        <w:ind w:left="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jc w:val="both"/>
        <w:spacing w:before="0" w:after="0" w:line="284" w:lineRule="exact"/>
        <w:ind w:left="0" w:right="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8029"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Председатель Комиссии:</w:t>
        <w:tab/>
        <w:t>М. А. Благодарев,</w:t>
      </w:r>
    </w:p>
    <w:p>
      <w:pPr>
        <w:pStyle w:val="Style3"/>
        <w:tabs>
          <w:tab w:leader="none" w:pos="8029"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292" w:line="230" w:lineRule="exact"/>
        <w:ind w:left="810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484" w:line="270" w:lineRule="exact"/>
        <w:ind w:left="0" w:right="40" w:firstLine="0"/>
      </w:pPr>
      <w:r>
        <w:rPr>
          <w:lang w:val="ru-RU" w:eastAsia="ru-RU" w:bidi="ru-RU"/>
          <w:w w:val="100"/>
          <w:spacing w:val="0"/>
          <w:color w:val="000000"/>
          <w:position w:val="0"/>
        </w:rPr>
        <w:t>рассмотрев дело №061/06/54.3-209,213/2021 по жалобам Заявителей о нарушении Заказчиком при проведении открытого конкурса в электронной форме №0158600000420000037 «Выполнение</w:t>
      </w:r>
    </w:p>
    <w:p>
      <w:pPr>
        <w:pStyle w:val="Style19"/>
        <w:widowControl w:val="0"/>
        <w:keepNext/>
        <w:keepLines/>
        <w:shd w:val="clear" w:color="auto" w:fill="auto"/>
        <w:bidi w:val="0"/>
        <w:spacing w:before="0" w:after="0" w:line="340" w:lineRule="exact"/>
        <w:ind w:left="0" w:right="40" w:firstLine="0"/>
      </w:pPr>
      <w:bookmarkStart w:id="0" w:name="bookmark0"/>
      <w:r>
        <w:rPr>
          <w:lang w:val="ru-RU" w:eastAsia="ru-RU" w:bidi="ru-RU"/>
          <w:w w:val="100"/>
          <w:spacing w:val="0"/>
          <w:color w:val="000000"/>
          <w:position w:val="0"/>
        </w:rPr>
        <w:t>018244</w:t>
      </w:r>
      <w:bookmarkEnd w:id="0"/>
      <w:r>
        <w:br w:type="page"/>
      </w:r>
    </w:p>
    <w:p>
      <w:pPr>
        <w:pStyle w:val="Style3"/>
        <w:widowControl w:val="0"/>
        <w:keepNext w:val="0"/>
        <w:keepLines w:val="0"/>
        <w:shd w:val="clear" w:color="auto" w:fill="auto"/>
        <w:bidi w:val="0"/>
        <w:jc w:val="both"/>
        <w:spacing w:before="0" w:after="278" w:line="277" w:lineRule="exact"/>
        <w:ind w:left="20" w:right="20" w:firstLine="0"/>
      </w:pPr>
      <w:r>
        <w:rPr>
          <w:lang w:val="ru-RU" w:eastAsia="ru-RU" w:bidi="ru-RU"/>
          <w:w w:val="100"/>
          <w:spacing w:val="0"/>
          <w:color w:val="000000"/>
          <w:position w:val="0"/>
        </w:rPr>
        <w:t>мероприятий,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на территории Зерноградского городского поселения Зерноградского района Ростовской области»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представителя Заявителя-1, уведомленного надлежащим образом, при участии представителя Заявителя-2 по доверенности - Пельд С.А. (доверенность от 01.02.2021 №8) при участии представителя Заказчика по доверенности - Рачкова А.А. (доверенность от 05.02.2021 №22),</w:t>
      </w:r>
    </w:p>
    <w:p>
      <w:pPr>
        <w:pStyle w:val="Style9"/>
        <w:widowControl w:val="0"/>
        <w:keepNext w:val="0"/>
        <w:keepLines w:val="0"/>
        <w:shd w:val="clear" w:color="auto" w:fill="auto"/>
        <w:bidi w:val="0"/>
        <w:spacing w:before="0" w:after="211"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Ростовское УФ АС России поступили жалобы ООО «Люксанта», АО «ААА Инжиниринг», в которых обжалуются положения конкурсной документации МКУ Зерноградского городского поселения «Управление жилищно-коммунального хозяйства, архитектуры, имущественных отношений, гражданской обороны и чрезвычайных ситуаций». По мнению Заявителей, лот конкурсной документации сформирован с нарушением положений Постановления Правительства Российской Федерации от 10.07.2019 №878. Также Заявитель-2 указывает, что в документации содержатся положения, нарушающие законодательство о контрактной системе в сфере закупок.</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 в возражениях (от 05.02.2021 №б/н) на жалобы:</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-отрицал нарушения норм Закона в положениях конкурсной документации;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-указал, что лот конкурса сформирован с учетом фактической взаимосвязи поставляемого оборудования;</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-представил пояснения по доводам жалоб.</w:t>
      </w:r>
    </w:p>
    <w:p>
      <w:pPr>
        <w:pStyle w:val="Style3"/>
        <w:widowControl w:val="0"/>
        <w:keepNext w:val="0"/>
        <w:keepLines w:val="0"/>
        <w:shd w:val="clear" w:color="auto" w:fill="auto"/>
        <w:bidi w:val="0"/>
        <w:jc w:val="both"/>
        <w:spacing w:before="0" w:after="232"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Согласно «Извещению о проведении открытого конкурса в электронной форме» №0158600000420000037:</w:t>
      </w:r>
    </w:p>
    <w:p>
      <w:pPr>
        <w:pStyle w:val="Style3"/>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- 01.02.2021 в 08:00;</w:t>
      </w:r>
    </w:p>
    <w:p>
      <w:pPr>
        <w:pStyle w:val="Style3"/>
        <w:numPr>
          <w:ilvl w:val="0"/>
          <w:numId w:val="3"/>
        </w:numPr>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65 668 890,63 рублей;</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(ЕИС) на</w:t>
      </w:r>
    </w:p>
    <w:p>
      <w:pPr>
        <w:pStyle w:val="Style3"/>
        <w:widowControl w:val="0"/>
        <w:keepNext w:val="0"/>
        <w:keepLines w:val="0"/>
        <w:shd w:val="clear" w:color="auto" w:fill="auto"/>
        <w:bidi w:val="0"/>
        <w:jc w:val="both"/>
        <w:spacing w:before="0" w:after="240" w:line="277"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18.12.2020.</w:t>
      </w:r>
    </w:p>
    <w:p>
      <w:pPr>
        <w:pStyle w:val="Style3"/>
        <w:numPr>
          <w:ilvl w:val="0"/>
          <w:numId w:val="5"/>
        </w:numPr>
        <w:tabs>
          <w:tab w:leader="none" w:pos="103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Заявитель-1, Заявитель-2 в жалобе указали, что Заказчиком неправомерно объединены в один лот товары, включенные в перечень, утвержденный Постановлением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(далее - Постановление №878) - осветительное оборудование - и товары, не включенные в данный перечень - автоматическая система управления наружным освещением и технического учета электроэнергии (АСУНО и ТЭУ).</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соответствии с ч.1,2 ст.108 Закона в целях обеспечения энергоэффективности при закупке товаров, работ, услуг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соответствии с ч.З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Во исполнение требований ч.З ст.14 Закона Правительством Российской Федерации издано Постановление от 10.07.2019 №878.</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ходе выполнения энергосберегающих мероприятий предусмотрена поставка осветительного оборудования, входящего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Данный факт сторонами не оспаривается.</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Вместе с тем, на заседании Комиссии установлено, что в рамках исполнения контракта поставке также подлежит автоматическая система управления наружным освещением и технического учета электроэнергии.</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Представитель Заказчика на заседании Комиссии пояснил, что указанные товары являются дополнительными по отношению к осветительному оборудованию, при этом указанные товары являются необходимыми для нормального функционирования системы наружного освещения, и являются неотъемлемой частью объекта закупки.</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Данный подход согласуется с мнением ФАС России, изложенном в решениях: Решение ФАС России по делу №20/44/105/1886, Решение ФАС России по делу №20/44/105/1902, Решение ФАС России по делу №20/44/105/1916.</w:t>
      </w:r>
    </w:p>
    <w:p>
      <w:pPr>
        <w:pStyle w:val="Style3"/>
        <w:widowControl w:val="0"/>
        <w:keepNext w:val="0"/>
        <w:keepLines w:val="0"/>
        <w:shd w:val="clear" w:color="auto" w:fill="auto"/>
        <w:bidi w:val="0"/>
        <w:jc w:val="both"/>
        <w:spacing w:before="0" w:after="237" w:line="274" w:lineRule="exact"/>
        <w:ind w:left="20" w:right="0" w:firstLine="720"/>
      </w:pPr>
      <w:r>
        <w:rPr>
          <w:lang w:val="ru-RU" w:eastAsia="ru-RU" w:bidi="ru-RU"/>
          <w:w w:val="100"/>
          <w:spacing w:val="0"/>
          <w:color w:val="000000"/>
          <w:position w:val="0"/>
        </w:rPr>
        <w:t>В составе жалоб отсутствует документально подтвержденная информация, опровергающая доводы Заказчика о взаимосвязи всего оборудования, входящего в конкурсный лот. Представитель Заявителя-2 на заседании Комиссии также не представил доказательств, подтверждающих обоснованность своего довода, в связи с чем доводы Заявителей подтверждения не нашли.</w:t>
      </w:r>
    </w:p>
    <w:p>
      <w:pPr>
        <w:pStyle w:val="Style3"/>
        <w:numPr>
          <w:ilvl w:val="0"/>
          <w:numId w:val="5"/>
        </w:numPr>
        <w:tabs>
          <w:tab w:leader="none" w:pos="1044" w:val="lef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Согласно доводу Заявителя-2 Заказчиком с нарушениями применена «Методика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для определения объема потребления электроэнергии.</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Положения п.6 Постановления Правительства РФ от 18.08.2010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 закрепляют, что определение объема потребления энергетического ресурса до реализации исполнителем перечня мероприятий, осуществляемое одним из следующих способов:</w:t>
      </w:r>
    </w:p>
    <w:p>
      <w:pPr>
        <w:pStyle w:val="Style3"/>
        <w:numPr>
          <w:ilvl w:val="0"/>
          <w:numId w:val="7"/>
        </w:numPr>
        <w:tabs>
          <w:tab w:leader="none" w:pos="1056"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при наличии данных об объеме потребления энергетического ресурса, определенных при помощи прибора учета используемого энергетического ресурса, - на основании планируемого объема потребления энергетического ресурса, сформированного заказчиком по фактическим данным об объеме потребления энергетического ресурса, определенным при помощи прибора учета используемого энергетического ресурса в предшествующий период до реализации исполнителем перечня мероприятий;</w:t>
      </w:r>
    </w:p>
    <w:p>
      <w:pPr>
        <w:pStyle w:val="Style3"/>
        <w:numPr>
          <w:ilvl w:val="0"/>
          <w:numId w:val="7"/>
        </w:numPr>
        <w:tabs>
          <w:tab w:leader="none" w:pos="1056"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отсутствии данных об объеме потребления энергетического ресурса, определенных при помощи прибора учета используемого энергетического ресурса:</w:t>
      </w:r>
    </w:p>
    <w:p>
      <w:pPr>
        <w:pStyle w:val="Style3"/>
        <w:widowControl w:val="0"/>
        <w:keepNext w:val="0"/>
        <w:keepLines w:val="0"/>
        <w:shd w:val="clear" w:color="auto" w:fill="auto"/>
        <w:bidi w:val="0"/>
        <w:jc w:val="both"/>
        <w:spacing w:before="0" w:after="0" w:line="277" w:lineRule="exact"/>
        <w:ind w:left="720" w:right="20" w:firstLine="720"/>
      </w:pPr>
      <w:r>
        <w:rPr>
          <w:lang w:val="ru-RU" w:eastAsia="ru-RU" w:bidi="ru-RU"/>
          <w:w w:val="100"/>
          <w:spacing w:val="0"/>
          <w:color w:val="000000"/>
          <w:position w:val="0"/>
        </w:rPr>
        <w:t>-при установке исполнителем прибора учета используемого энергетического ресурса и фиксации сторонами данных об объеме (доле объема) потребления энергетического ресурса заказчиком, полученных при помощи этого прибора за период, который составляет не менее одного календарного месяца до начала реализации перечня мероприятий, данные об объеме (доле объема) потребления энергетического ресурса заказчиком, полученные при помощи указанного прибора учета, принимаются как объем потребления с учетом пункта 8 настоящих требований;</w:t>
      </w:r>
    </w:p>
    <w:p>
      <w:pPr>
        <w:pStyle w:val="Style3"/>
        <w:widowControl w:val="0"/>
        <w:keepNext w:val="0"/>
        <w:keepLines w:val="0"/>
        <w:shd w:val="clear" w:color="auto" w:fill="auto"/>
        <w:bidi w:val="0"/>
        <w:jc w:val="both"/>
        <w:spacing w:before="0" w:after="0" w:line="277" w:lineRule="exact"/>
        <w:ind w:left="720" w:right="20" w:firstLine="720"/>
      </w:pPr>
      <w:r>
        <w:rPr>
          <w:lang w:val="ru-RU" w:eastAsia="ru-RU" w:bidi="ru-RU"/>
          <w:w w:val="100"/>
          <w:spacing w:val="0"/>
          <w:color w:val="000000"/>
          <w:position w:val="0"/>
        </w:rPr>
        <w:t>-расчетно-измерительным способом в соответствии с утвержденной Министерством энергетики Российской Федерации методикой определения расчетно</w:t>
        <w:softHyphen/>
        <w:t>измерительным способом объема потребления энергетического ресурса в натуральном выражении.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конкурсной документации (п.6 Информационной карты, раздел 6 конкурсной документации, п.З Приложении №4 Технического задания), исходя из объема потребления электрической энергии в 2019 базисном году обозначен объем потребления электроэнергии на основании приборов коммерческого учета - 1 162 487 кВт/ч.</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Таким образом, Заказчиком не применялся расчетно-измерительный способ, следовательно, довод Заявителя-2 о нарушении его положений является необоснованным.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3-4. Заявитель-2 указал, что Заказчик при описании объекта закупки использовал положения законодательства Российской Федерации о техническом регулировании и документы, прекращающие свое действие в период предполагаемого действия контракта, заключаемого по итогам рассматриваемой процедуры.</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1 ч.1 ст.54.3 Закона установлено, что конкурсная документация наряду с информацией, указанной в извещении о проведении конкурса, должна содержать, в том числе, наименование и описание объекта закупки и условий контракта в соответствии со ст.33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п.2 4.1 ст.ЗЗ Закона, заказчик при составлении описания объекта закупки использует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совокупного толкования ч.1 ст.54.3, п. 1,2 ч.1, ч.2 ст.ЗЗ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конкурсной документации закреплены следующие положения:</w:t>
      </w:r>
    </w:p>
    <w:p>
      <w:pPr>
        <w:pStyle w:val="Style21"/>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«Светодиодные консольные светильники (далее - СКС), применяемые в сетях наружного освещения, должны соответствовать требованиям ГОСТ </w:t>
      </w:r>
      <w:r>
        <w:rPr>
          <w:lang w:val="en-US" w:eastAsia="en-US" w:bidi="en-US"/>
          <w:w w:val="100"/>
          <w:spacing w:val="0"/>
          <w:color w:val="000000"/>
          <w:position w:val="0"/>
        </w:rPr>
        <w:t xml:space="preserve">IEC </w:t>
      </w:r>
      <w:r>
        <w:rPr>
          <w:lang w:val="ru-RU" w:eastAsia="ru-RU" w:bidi="ru-RU"/>
          <w:w w:val="100"/>
          <w:spacing w:val="0"/>
          <w:color w:val="000000"/>
          <w:position w:val="0"/>
        </w:rPr>
        <w:t xml:space="preserve">60598-1-2017, ГОСТ </w:t>
      </w:r>
      <w:r>
        <w:rPr>
          <w:lang w:val="en-US" w:eastAsia="en-US" w:bidi="en-US"/>
          <w:w w:val="100"/>
          <w:spacing w:val="0"/>
          <w:color w:val="000000"/>
          <w:position w:val="0"/>
        </w:rPr>
        <w:t xml:space="preserve">IEC </w:t>
      </w:r>
      <w:r>
        <w:rPr>
          <w:lang w:val="ru-RU" w:eastAsia="ru-RU" w:bidi="ru-RU"/>
          <w:w w:val="100"/>
          <w:spacing w:val="0"/>
          <w:color w:val="000000"/>
          <w:position w:val="0"/>
        </w:rPr>
        <w:t>60598- 2-3-2017, ГОСТ Р 54350-2015, ГОСТ Р 55705-2013, Постановления Правительства РФ №1356 от 10.11.2017.</w:t>
      </w:r>
    </w:p>
    <w:p>
      <w:pPr>
        <w:pStyle w:val="Style21"/>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выполнении Энергосберегающих мероприятий Исполнителем соблюдаются требования следующих нормативных актов: Правша безопасности при строительстве линий электропередачи и производстве электромонтажных работ, РД 153-34.3-03.285-2002».</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жалобе указано, что Постановление Правительства РФ №1356 от 10.11.2017 утратило силу с 01.01.2021 в связи с изданием Постановления Правительства РФ №2255 от 24.12.2020. Также Заявитель-2 считает, что Правила РД 153-34.3-03.285-2002 являются недействующими.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отмечает, что Постановление Правительства РФ №2255 от 24.12.2020 вступило в силу с 01.01.2021, за исключением: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подпункта "6</w:t>
      </w:r>
      <w:r>
        <w:rPr>
          <w:lang w:val="ru-RU" w:eastAsia="ru-RU" w:bidi="ru-RU"/>
          <w:vertAlign w:val="superscript"/>
          <w:w w:val="100"/>
          <w:spacing w:val="0"/>
          <w:color w:val="000000"/>
          <w:position w:val="0"/>
        </w:rPr>
        <w:t>м</w:t>
      </w:r>
      <w:r>
        <w:rPr>
          <w:lang w:val="ru-RU" w:eastAsia="ru-RU" w:bidi="ru-RU"/>
          <w:w w:val="100"/>
          <w:spacing w:val="0"/>
          <w:color w:val="000000"/>
          <w:position w:val="0"/>
        </w:rPr>
        <w:t xml:space="preserve"> пункта 19, пунктов 23, 24, 28 и 29 требований, утвержденных настоящим постановлением, которые вступают в силу с 01.06.2021;</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б) пункта 31 требований, утвержденных постановлением, который применяется:</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отношении светильников со светодиодами для наружного освещения - с 01.04.2021;</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отношении светильников со светодиодами для внутреннего освещения промышленных объектов - с 01.06.2021;</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отношении светодиодных ламп и прочих светильников со светодиодами - с 01.10.2021.</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Исходя из изложенного, требования в отношении светильников со светодиодами для наружного освещения и требования в отношении светодиодных ламп и прочих светильников со светодиодами еще не вступили в силу.</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Заказчиком пояснено Комиссии, что Постановление Правительства №2255 от 24.12.2020 не имеет обратной силы по отношению к постановлению Правительства № 1356 от 10.11.2017, не имеет противоречивых характеристик к осветительным приборам, установленных Заказчиком в конкурсной документации.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Относительно юридической силы Правил безопасности при строительстве линий электропередачи и производстве электромонтажных работ, РД 153-34.3-03.285-2002 Комиссия заключает следующее. Сведений об утрате данным документом юридической силы при рассмотрении дела не установлено, информации о наличии нормативного правового акта, отменяющего указанные Правила РД 153-34.3-03.285-2002 Заявителем не представлено. В соответствии с ч.9 ст. 105 Закона, к жалобе прикладываются документы, подтверждающие ее обоснованность. В настоящем случае Заявителем-2 такие документы не представлены.</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Дополнительно Комиссия отмечает, что в конкурсной документации предусмотрено следующее:</w:t>
      </w:r>
    </w:p>
    <w:p>
      <w:pPr>
        <w:pStyle w:val="Style21"/>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пользовании настоящим Перечнем технических документов необходимо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«Национальные стандарты», который опубликован по состоянию на 1 января текущего года, и по соответствующим ежемесячно издаваемым информационным указателям, опубликованным в текущем году.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pPr>
        <w:pStyle w:val="Style3"/>
        <w:widowControl w:val="0"/>
        <w:keepNext w:val="0"/>
        <w:keepLines w:val="0"/>
        <w:shd w:val="clear" w:color="auto" w:fill="auto"/>
        <w:bidi w:val="0"/>
        <w:jc w:val="both"/>
        <w:spacing w:before="0" w:after="232" w:line="274" w:lineRule="exact"/>
        <w:ind w:left="20" w:right="20" w:firstLine="720"/>
      </w:pPr>
      <w:r>
        <w:rPr>
          <w:lang w:val="ru-RU" w:eastAsia="ru-RU" w:bidi="ru-RU"/>
          <w:w w:val="100"/>
          <w:spacing w:val="0"/>
          <w:color w:val="000000"/>
          <w:position w:val="0"/>
        </w:rPr>
        <w:t>Комиссией установлено, указанные в документации нормативные документы действуют на момент проведения конкурса. Указание Заказчиком действующих на момент размещения конкурсной документации норм не нарушает законодательства о контрактной системе в сфере закупок, при изменении данных норм стороны контракта обязаны будут руководствоваться вновь принятым нормативным актом, в связи с чем довод жалобы признан необоснованным.</w:t>
      </w:r>
    </w:p>
    <w:p>
      <w:pPr>
        <w:pStyle w:val="Style3"/>
        <w:numPr>
          <w:ilvl w:val="0"/>
          <w:numId w:val="9"/>
        </w:numPr>
        <w:tabs>
          <w:tab w:leader="none" w:pos="1031" w:val="left"/>
        </w:tabs>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Заявитель-1 в жалобе указал, что Заказчиком неправомерно осуществлено определение начальной (максимальной) цены контракта.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ч.З ст.99 Закона, контрольный орган в сфере закупок не наделен полномочиями по контролю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3"/>
        <w:tabs>
          <w:tab w:leader="none" w:pos="4059" w:val="right"/>
          <w:tab w:leader="none" w:pos="4203" w:val="left"/>
          <w:tab w:leader="none" w:pos="7994" w:val="righ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п.З ч.8 ст.99 Закона органы внутреннего государственного (муниципального) финансового контроля осуществляют контроль (за исключением контроля, предусмотренного частью</w:t>
        <w:tab/>
        <w:t>10 настоящей статьи) в</w:t>
        <w:tab/>
        <w:t>отношении</w:t>
        <w:tab/>
        <w:t>определения и обоснования начальной</w:t>
      </w:r>
    </w:p>
    <w:p>
      <w:pPr>
        <w:pStyle w:val="Style3"/>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3"/>
        <w:widowControl w:val="0"/>
        <w:keepNext w:val="0"/>
        <w:keepLines w:val="0"/>
        <w:shd w:val="clear" w:color="auto" w:fill="auto"/>
        <w:bidi w:val="0"/>
        <w:jc w:val="both"/>
        <w:spacing w:before="0" w:after="240" w:line="277" w:lineRule="exact"/>
        <w:ind w:left="20" w:right="20" w:firstLine="720"/>
      </w:pPr>
      <w:r>
        <w:rPr>
          <w:lang w:val="ru-RU" w:eastAsia="ru-RU" w:bidi="ru-RU"/>
          <w:w w:val="100"/>
          <w:spacing w:val="0"/>
          <w:color w:val="000000"/>
          <w:position w:val="0"/>
        </w:rPr>
        <w:t>При указанных обстоятельствах контроль за определением и обоснованием начальной (максимальной) цены контракта, в том числе формирование протокола Н(М)ЦК и применение понижающих коэффициентов, не относится к компетенции Ростовского У ФАС России, в связи с чем, указанный довод Заявителя не подлежит рассмотрению.</w:t>
      </w:r>
    </w:p>
    <w:p>
      <w:pPr>
        <w:pStyle w:val="Style3"/>
        <w:numPr>
          <w:ilvl w:val="0"/>
          <w:numId w:val="9"/>
        </w:numPr>
        <w:tabs>
          <w:tab w:leader="none" w:pos="4066" w:val="right"/>
          <w:tab w:leader="none" w:pos="4210" w:val="left"/>
          <w:tab w:leader="none" w:pos="7994" w:val="right"/>
          <w:tab w:leader="none" w:pos="9926" w:val="right"/>
          <w:tab w:leader="none" w:pos="1208" w:val="lef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Заявитель-2 оспаривает</w:t>
        <w:tab/>
        <w:t>положение</w:t>
        <w:tab/>
        <w:t>абз.4 п.8.1 проекта</w:t>
        <w:tab/>
        <w:t>контракта, как</w:t>
      </w:r>
    </w:p>
    <w:p>
      <w:pPr>
        <w:pStyle w:val="Style3"/>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несоответствующее законодательству о контрактной системе в сфере закупок:</w:t>
      </w:r>
    </w:p>
    <w:p>
      <w:pPr>
        <w:pStyle w:val="Style21"/>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«Цена настоящего Контракта подлежит изменению в соответствии с п. 5 ч.1 Статьи 95 Федерального закона от «05» апреля 2013 года № 44-ФЗ «О закупках товаров, работ, услуг для обеспечения государственных и муниципальных нужд», в случае изменения регулируемых цен (тарифов) на электрическую энергию.».</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ч.13 ст. 108 Закона энергосервисный контракт заключается по цене, которая определяется в виде:</w:t>
      </w:r>
    </w:p>
    <w:p>
      <w:pPr>
        <w:pStyle w:val="Style3"/>
        <w:numPr>
          <w:ilvl w:val="0"/>
          <w:numId w:val="11"/>
        </w:numPr>
        <w:tabs>
          <w:tab w:leader="none" w:pos="4188" w:val="left"/>
          <w:tab w:leader="none" w:pos="4106" w:val="left"/>
          <w:tab w:leader="none" w:pos="9926" w:val="right"/>
          <w:tab w:leader="none" w:pos="9909" w:val="righ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фиксированного процента</w:t>
        <w:tab/>
        <w:t>экономии в</w:t>
        <w:tab/>
        <w:t>денежном выражении</w:t>
        <w:tab/>
        <w:t>соответствующих</w:t>
      </w:r>
    </w:p>
    <w:p>
      <w:pPr>
        <w:pStyle w:val="Style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расходов заказчика на поставки энергетических ресурсов, предложенного участником закупки, с которым заключается такой контракт, в случае, указанном в п.1 ч.З настоящей статьи;</w:t>
      </w:r>
    </w:p>
    <w:p>
      <w:pPr>
        <w:pStyle w:val="Style3"/>
        <w:numPr>
          <w:ilvl w:val="0"/>
          <w:numId w:val="11"/>
        </w:numPr>
        <w:tabs>
          <w:tab w:leader="none" w:pos="4059" w:val="right"/>
          <w:tab w:leader="none" w:pos="4210" w:val="left"/>
          <w:tab w:leader="none" w:pos="7994" w:val="right"/>
          <w:tab w:leader="none" w:pos="9926" w:val="righ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фиксированного процента</w:t>
        <w:tab/>
        <w:t>экономии в</w:t>
        <w:tab/>
        <w:t>денежном выражении</w:t>
        <w:tab/>
        <w:t>соответствующих</w:t>
      </w:r>
    </w:p>
    <w:p>
      <w:pPr>
        <w:pStyle w:val="Style3"/>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расходов заказчика на поставки энергетических ресурсов, предложенного участником закупки, с которым заключается такой контракт, в случае, указанном в п.2 ч.З настоящей статьи;</w:t>
      </w:r>
    </w:p>
    <w:p>
      <w:pPr>
        <w:pStyle w:val="Style3"/>
        <w:numPr>
          <w:ilvl w:val="0"/>
          <w:numId w:val="1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п.З ч.З настоящей статьи.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14 ст. 108 Закона установлено, что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п. 1 ч.З ст. 108 Закона №44-ФЗ) или предложенной участником закупки (в случаях, предусмотренных п.2 и 3 ч.З ст. 108 Закона №44-ФЗ)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ч.15 ст. 108 Закона при заключении энергосервисного контракта в этом контракте также указывается в случае, предусмотренном п.1 и 3 ч.З ст. 108 Закона,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п.2 ч.З ст. 108 Закона,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цена энергосервисного контракта определяется исходя из подлежащего уплате исполнителю процента экономии. Данный процент экономии не подлежит изменению в ходе исполнения контракта.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Пунктом 5 4.1 ст.95 Закона установлено, что изменение существенных условий контракта при его исполнении не допускается, за исключением их изменения по соглашению сторон в случае изменения в соответствии с законодательством Российской Федерации регулируемых цен (тарифов) на товары, работы, услуги.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Учитывая изложенное, заказчик не вправе изменить цену энергосервисного контракта в ходе его исполнения в соответствии с п.5 ч.1 ст.95 Закона. Аналогичная правовая позиция изложена в Письме Министерства финансов Российской Федерации от 09.04.2020 </w:t>
      </w:r>
      <w:r>
        <w:rPr>
          <w:lang w:val="en-US" w:eastAsia="en-US" w:bidi="en-US"/>
          <w:w w:val="100"/>
          <w:spacing w:val="0"/>
          <w:color w:val="000000"/>
          <w:position w:val="0"/>
        </w:rPr>
        <w:t xml:space="preserve">N </w:t>
      </w:r>
      <w:r>
        <w:rPr>
          <w:lang w:val="ru-RU" w:eastAsia="ru-RU" w:bidi="ru-RU"/>
          <w:w w:val="100"/>
          <w:spacing w:val="0"/>
          <w:color w:val="000000"/>
          <w:position w:val="0"/>
        </w:rPr>
        <w:t>24-03- 08/28413, Письме Министерства экономического развития Российской Федерации от 04.10.2016 №ОГ-Д2 8-11935.</w:t>
      </w:r>
    </w:p>
    <w:p>
      <w:pPr>
        <w:pStyle w:val="Style3"/>
        <w:widowControl w:val="0"/>
        <w:keepNext w:val="0"/>
        <w:keepLines w:val="0"/>
        <w:shd w:val="clear" w:color="auto" w:fill="auto"/>
        <w:bidi w:val="0"/>
        <w:jc w:val="both"/>
        <w:spacing w:before="0" w:after="246" w:line="281" w:lineRule="exact"/>
        <w:ind w:left="20" w:right="20" w:firstLine="720"/>
      </w:pPr>
      <w:r>
        <w:rPr>
          <w:lang w:val="ru-RU" w:eastAsia="ru-RU" w:bidi="ru-RU"/>
          <w:w w:val="100"/>
          <w:spacing w:val="0"/>
          <w:color w:val="000000"/>
          <w:position w:val="0"/>
        </w:rPr>
        <w:t>На основании изложенного Комиссия приходит к выводу о нарушении Заказчиком ч.15 ст. 108 Закона. Довод жалобы обоснован.</w:t>
      </w:r>
    </w:p>
    <w:p>
      <w:pPr>
        <w:pStyle w:val="Style3"/>
        <w:numPr>
          <w:ilvl w:val="0"/>
          <w:numId w:val="9"/>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Согласно доводу Заявителя-2 Заказчиком нарушены положения законодательства о контрактной системе в сфере закупок в части положений проекта контракта по выкупу отделимых улучшений, установленных исполнителем.</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 соответствии с п. 13.6 проекта контракта:</w:t>
      </w:r>
    </w:p>
    <w:p>
      <w:pPr>
        <w:pStyle w:val="Style21"/>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случае досрочного расторжения настоящего Контракта, все права на оборудование, материалы, отделимые улучшения, установленные Исполнителем (в части, неоплаченной за счет экономии электрической энергии) Заказчик приобретает путем выкупа по ценам, равным цене покупки оборудования, материалов, отделимых улучшений Исполнителем.».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п.19 Постановления Правительства РФ от 18.08.2010 №636 в энергосервисном контракте должно быть условие о порядке перехода к заказчику права собственности на оборудование, установленное исполнителем у заказчика в ходе осуществления мероприятий, направленных на энергосбережение и повышение энергетической эффективности.</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Во исполнение данной нормы Заказчиком включен п. 13.6 в проект контракта.</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Заявитель-2 полагает, что данное положение не соответствует правовой позиции Минфина России, изложенной в Письме от 26.06.2015 №20-06-03/1/37017. Вместе с тем, данная позиция является рекомендацией и не запрещает Заказчику разработать свою редакцию. Довод жалобы не обоснован.</w:t>
      </w:r>
    </w:p>
    <w:p>
      <w:pPr>
        <w:pStyle w:val="Style3"/>
        <w:numPr>
          <w:ilvl w:val="0"/>
          <w:numId w:val="9"/>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соответствии с доводом Заявителя-2, в положения проекта контракта об обстоятельствах непреодолимой силы неправомерно включено обстоятельство «пожар».</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Постановление Пленума Верховного Суда РФ от 24.03.2016 №7 «О применении судами некоторых положений Гражданского кодекса Российской Федерации об ответственности за нарушение обязательств» в п.8 закрепляет следующую правовую позицию.</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п.З ст.401 Гражданского Кодекса Российской Федерации для признания обстоятельства непреодолимой силой необходимо, чтобы оно носило чрезвычайный и непредотвратимый при данных условиях характер. 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 Если иное не предусмотрено законом, 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 Не могут быть признаны непреодолимой силой обстоятельства, наступление которых зависело от воли или действий стороны обязательства, например, отсутствие у должника необходимых денежных средств, нарушение обязательств его контрагентами, неправомерные действия его представителей.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Аналогичный подход выражен в Постановлении Президиума ВАС РФ от 21.06.2012 №3352/12.</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соответствии с Положением о порядке свидетельствования Торгово-промышленной палатой Российской Федерации обстоятельств непреодолимой силы (форс-мажор), являющимся приложением к постановлению Правления ТПП РФ от 23.12.2015 </w:t>
      </w:r>
      <w:r>
        <w:rPr>
          <w:lang w:val="en-US" w:eastAsia="en-US" w:bidi="en-US"/>
          <w:w w:val="100"/>
          <w:spacing w:val="0"/>
          <w:color w:val="000000"/>
          <w:position w:val="0"/>
        </w:rPr>
        <w:t xml:space="preserve">N </w:t>
      </w:r>
      <w:r>
        <w:rPr>
          <w:lang w:val="ru-RU" w:eastAsia="ru-RU" w:bidi="ru-RU"/>
          <w:w w:val="100"/>
          <w:spacing w:val="0"/>
          <w:color w:val="000000"/>
          <w:position w:val="0"/>
        </w:rPr>
        <w:t>173-14, пожар приведен в качестве примера обстоятельства непреодолимой силы:</w:t>
      </w:r>
    </w:p>
    <w:p>
      <w:pPr>
        <w:pStyle w:val="Style21"/>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«Обстоятельства непреодолимой силы (форс-мажор)</w:t>
      </w:r>
      <w:r>
        <w:rPr>
          <w:rStyle w:val="CharStyle23"/>
          <w:i w:val="0"/>
          <w:iCs w:val="0"/>
        </w:rPr>
        <w:t xml:space="preserve"> - </w:t>
      </w:r>
      <w:r>
        <w:rPr>
          <w:lang w:val="ru-RU" w:eastAsia="ru-RU" w:bidi="ru-RU"/>
          <w:w w:val="100"/>
          <w:spacing w:val="0"/>
          <w:color w:val="000000"/>
          <w:position w:val="0"/>
        </w:rPr>
        <w:t>чрезвычайные, непредвиденные и непредотвратимые обстоятельства, возникшие в течение реализации договорных (контрактных) обязательств, которые нельзя было разумно ожидать при заключении договора (контракта), либо избежать или преодолеть, а также находящиеся вне контроля сторон такого договора (контракта).</w:t>
      </w:r>
    </w:p>
    <w:p>
      <w:pPr>
        <w:pStyle w:val="Style21"/>
        <w:tabs>
          <w:tab w:leader="none" w:pos="7584" w:val="left"/>
        </w:tabs>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В частности, к таким обстоятельствам относятся:</w:t>
        <w:tab/>
        <w:t>стихийные бедствия</w:t>
      </w:r>
    </w:p>
    <w:p>
      <w:pPr>
        <w:pStyle w:val="Style21"/>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(землетрясение, наводнение, ураган), поэюар,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(контракта) обстоятельства.».</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перечень обстоятельств, которые могут быть признаны обстоятельствами непреодолимой силы не является закрытым. Само по себе включение обстоятельства «пожар» в положения проекта контракта о непреодолимой силе не может являться нарушением законодательства о контрактной системе в сфере закупок. Довод жалобы не обоснован.</w:t>
      </w:r>
    </w:p>
    <w:p>
      <w:pPr>
        <w:pStyle w:val="Style3"/>
        <w:numPr>
          <w:ilvl w:val="0"/>
          <w:numId w:val="9"/>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жалобе Заявителя-2 приведен довод, согласно которому Таблица №2 Приложения №1 к проекту контракта неправомерно заполнена Заказчиком. Данные, которые необходимо внести в таблицу, должны быть заполнены исполнителем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Заказчиком сообщено Комиссии, что в Приложение №1 «Перечень Энергосберегающих мероприятий» и указаны минимальные размеры экономии электрической энергии в каждом календарном месяце (минимальные доли размера экономии), т.е. 50% от базового периода (2019 год). Минимальные доли экономии в натуральном выражении, соответствующие заявке победителя конкурса, будут отражены при заключении контракта путем заполнения Приложения №7 к проекту энергосервисного контракта. Данное предложение в конкурсной документации (Таблица) не заполнено.</w:t>
      </w:r>
    </w:p>
    <w:p>
      <w:pPr>
        <w:pStyle w:val="Style3"/>
        <w:widowControl w:val="0"/>
        <w:keepNext w:val="0"/>
        <w:keepLines w:val="0"/>
        <w:shd w:val="clear" w:color="auto" w:fill="auto"/>
        <w:bidi w:val="0"/>
        <w:jc w:val="both"/>
        <w:spacing w:before="0" w:after="240" w:line="274" w:lineRule="exact"/>
        <w:ind w:left="20" w:right="0" w:firstLine="720"/>
      </w:pPr>
      <w:r>
        <w:rPr>
          <w:lang w:val="ru-RU" w:eastAsia="ru-RU" w:bidi="ru-RU"/>
          <w:w w:val="100"/>
          <w:spacing w:val="0"/>
          <w:color w:val="000000"/>
          <w:position w:val="0"/>
        </w:rPr>
        <w:t>В силу изложенного, довод жалобы признан необоснованным.</w:t>
      </w:r>
    </w:p>
    <w:p>
      <w:pPr>
        <w:pStyle w:val="Style3"/>
        <w:numPr>
          <w:ilvl w:val="0"/>
          <w:numId w:val="9"/>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Согласно доводу Заявителя-2, Заказчиком предусмотрено предоставление избыточной информации участниками закупки в составе своих предложений. Нарушением является форма №3 Раздела 11 конкурсной документации, которую участник обязан заполнить.</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Требования к составу заявки на участие в открытом конкурсе в электронной форме определены положениями ст.54.4 Закона. Данные положение предусмотрены Заказчиком в составе конкурсной документации и не возлагают на участника закупки неправомерных обязанностей.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Вместе с тем, согласно пояснениям Заказчика, формы №№1,2,3,4 Раздела 11 являются примером заявки для потенциальных участников закупки и носят исключительно рекомендательный, а не обязательный характер, о чем сделана оговорка: </w:t>
      </w:r>
      <w:r>
        <w:rPr>
          <w:rStyle w:val="CharStyle24"/>
        </w:rPr>
        <w:t>«Предоставление участником закупки предложения не по установленной форме не является основанием отказа в допуске к участию в закупке».</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Ввиду изложенного, Комиссия приходит к выводу о необоснованности довода жалобы.</w:t>
      </w:r>
    </w:p>
    <w:p>
      <w:pPr>
        <w:pStyle w:val="Style3"/>
        <w:widowControl w:val="0"/>
        <w:keepNext w:val="0"/>
        <w:keepLines w:val="0"/>
        <w:shd w:val="clear" w:color="auto" w:fill="auto"/>
        <w:bidi w:val="0"/>
        <w:jc w:val="both"/>
        <w:spacing w:before="0" w:after="275" w:line="274"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9"/>
        <w:widowControl w:val="0"/>
        <w:keepNext w:val="0"/>
        <w:keepLines w:val="0"/>
        <w:shd w:val="clear" w:color="auto" w:fill="auto"/>
        <w:bidi w:val="0"/>
        <w:spacing w:before="0" w:after="204" w:line="230" w:lineRule="exact"/>
        <w:ind w:left="0" w:right="20" w:firstLine="0"/>
      </w:pPr>
      <w:bookmarkStart w:id="2" w:name="bookmark2"/>
      <w:r>
        <w:rPr>
          <w:lang w:val="ru-RU" w:eastAsia="ru-RU" w:bidi="ru-RU"/>
          <w:w w:val="100"/>
          <w:spacing w:val="0"/>
          <w:color w:val="000000"/>
          <w:position w:val="0"/>
        </w:rPr>
        <w:t>РЕШИЛА:</w:t>
      </w:r>
      <w:bookmarkEnd w:id="2"/>
    </w:p>
    <w:p>
      <w:pPr>
        <w:pStyle w:val="Style3"/>
        <w:numPr>
          <w:ilvl w:val="0"/>
          <w:numId w:val="13"/>
        </w:numPr>
        <w:widowControl w:val="0"/>
        <w:keepNext w:val="0"/>
        <w:keepLines w:val="0"/>
        <w:shd w:val="clear" w:color="auto" w:fill="auto"/>
        <w:bidi w:val="0"/>
        <w:jc w:val="left"/>
        <w:spacing w:before="0" w:after="0" w:line="270" w:lineRule="exact"/>
        <w:ind w:left="400" w:right="0" w:firstLine="0"/>
      </w:pPr>
      <w:r>
        <w:rPr>
          <w:lang w:val="ru-RU" w:eastAsia="ru-RU" w:bidi="ru-RU"/>
          <w:w w:val="100"/>
          <w:spacing w:val="0"/>
          <w:color w:val="000000"/>
          <w:position w:val="0"/>
        </w:rPr>
        <w:t xml:space="preserve"> Признать жалобу Заявителя-1 необоснованной.</w:t>
      </w:r>
    </w:p>
    <w:p>
      <w:pPr>
        <w:pStyle w:val="Style3"/>
        <w:numPr>
          <w:ilvl w:val="0"/>
          <w:numId w:val="13"/>
        </w:numPr>
        <w:widowControl w:val="0"/>
        <w:keepNext w:val="0"/>
        <w:keepLines w:val="0"/>
        <w:shd w:val="clear" w:color="auto" w:fill="auto"/>
        <w:bidi w:val="0"/>
        <w:jc w:val="left"/>
        <w:spacing w:before="0" w:after="0" w:line="270" w:lineRule="exact"/>
        <w:ind w:left="400" w:right="0" w:firstLine="0"/>
      </w:pPr>
      <w:r>
        <w:rPr>
          <w:lang w:val="ru-RU" w:eastAsia="ru-RU" w:bidi="ru-RU"/>
          <w:w w:val="100"/>
          <w:spacing w:val="0"/>
          <w:color w:val="000000"/>
          <w:position w:val="0"/>
        </w:rPr>
        <w:t xml:space="preserve"> Признать жалобу Заявителя-2 частично обоснованной.</w:t>
      </w:r>
    </w:p>
    <w:p>
      <w:pPr>
        <w:pStyle w:val="Style3"/>
        <w:numPr>
          <w:ilvl w:val="0"/>
          <w:numId w:val="13"/>
        </w:numPr>
        <w:widowControl w:val="0"/>
        <w:keepNext w:val="0"/>
        <w:keepLines w:val="0"/>
        <w:shd w:val="clear" w:color="auto" w:fill="auto"/>
        <w:bidi w:val="0"/>
        <w:jc w:val="left"/>
        <w:spacing w:before="0" w:after="0" w:line="270" w:lineRule="exact"/>
        <w:ind w:left="400" w:right="0" w:firstLine="0"/>
      </w:pPr>
      <w:r>
        <w:rPr>
          <w:lang w:val="ru-RU" w:eastAsia="ru-RU" w:bidi="ru-RU"/>
          <w:w w:val="100"/>
          <w:spacing w:val="0"/>
          <w:color w:val="000000"/>
          <w:position w:val="0"/>
        </w:rPr>
        <w:t xml:space="preserve"> Признать Заказчика нарушившим ч. 15 ст. 108 Закона.</w:t>
      </w:r>
    </w:p>
    <w:p>
      <w:pPr>
        <w:pStyle w:val="Style3"/>
        <w:numPr>
          <w:ilvl w:val="0"/>
          <w:numId w:val="13"/>
        </w:numPr>
        <w:widowControl w:val="0"/>
        <w:keepNext w:val="0"/>
        <w:keepLines w:val="0"/>
        <w:shd w:val="clear" w:color="auto" w:fill="auto"/>
        <w:bidi w:val="0"/>
        <w:jc w:val="left"/>
        <w:spacing w:before="0" w:after="0" w:line="270" w:lineRule="exact"/>
        <w:ind w:left="400" w:right="0" w:firstLine="0"/>
      </w:pPr>
      <w:r>
        <w:rPr>
          <w:lang w:val="ru-RU" w:eastAsia="ru-RU" w:bidi="ru-RU"/>
          <w:w w:val="100"/>
          <w:spacing w:val="0"/>
          <w:color w:val="000000"/>
          <w:position w:val="0"/>
        </w:rPr>
        <w:t xml:space="preserve"> Выдать обязательное для исполнения предписание об устранении допущенных</w:t>
      </w:r>
    </w:p>
    <w:p>
      <w:pPr>
        <w:pStyle w:val="Style3"/>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нарушений путем отмены сформированных протоколов, внесении изменений в</w:t>
      </w:r>
    </w:p>
    <w:p>
      <w:pPr>
        <w:pStyle w:val="Style3"/>
        <w:widowControl w:val="0"/>
        <w:keepNext w:val="0"/>
        <w:keepLines w:val="0"/>
        <w:shd w:val="clear" w:color="auto" w:fill="auto"/>
        <w:bidi w:val="0"/>
        <w:jc w:val="both"/>
        <w:spacing w:before="0" w:after="0" w:line="270" w:lineRule="exact"/>
        <w:ind w:left="20" w:right="0" w:firstLine="720"/>
      </w:pPr>
      <w:r>
        <w:rPr>
          <w:lang w:val="ru-RU" w:eastAsia="ru-RU" w:bidi="ru-RU"/>
          <w:w w:val="100"/>
          <w:spacing w:val="0"/>
          <w:color w:val="000000"/>
          <w:position w:val="0"/>
        </w:rPr>
        <w:t>конкурсную документацию с учетом требований законодательства о контрактной системе</w:t>
      </w:r>
      <w:r>
        <w:br w:type="page"/>
      </w:r>
    </w:p>
    <w:p>
      <w:pPr>
        <w:pStyle w:val="Style3"/>
        <w:widowControl w:val="0"/>
        <w:keepNext w:val="0"/>
        <w:keepLines w:val="0"/>
        <w:shd w:val="clear" w:color="auto" w:fill="auto"/>
        <w:bidi w:val="0"/>
        <w:jc w:val="left"/>
        <w:spacing w:before="0" w:after="0" w:line="288" w:lineRule="exact"/>
        <w:ind w:left="0" w:right="340" w:firstLine="0"/>
        <w:sectPr>
          <w:type w:val="continuous"/>
          <w:pgSz w:w="11906" w:h="16838"/>
          <w:pgMar w:top="658" w:left="845" w:right="845" w:bottom="820" w:header="0" w:footer="3" w:gutter="266"/>
          <w:rtlGutter w:val="0"/>
          <w:cols w:space="720"/>
          <w:noEndnote/>
          <w:docGrid w:linePitch="360"/>
        </w:sectPr>
      </w:pPr>
      <w:r>
        <w:rPr>
          <w:lang w:val="ru-RU" w:eastAsia="ru-RU" w:bidi="ru-RU"/>
          <w:w w:val="100"/>
          <w:spacing w:val="0"/>
          <w:color w:val="000000"/>
          <w:position w:val="0"/>
        </w:rPr>
        <w:t>в сфере закупок и настоящего решения, продолжения процедуры определения поставщика.</w:t>
      </w:r>
    </w:p>
    <w:p>
      <w:pPr>
        <w:pStyle w:val="Style3"/>
        <w:framePr w:w="1378" w:h="211" w:wrap="none" w:vAnchor="text" w:hAnchor="margin" w:x="8607" w:y="3855"/>
        <w:widowControl w:val="0"/>
        <w:keepNext w:val="0"/>
        <w:keepLines w:val="0"/>
        <w:shd w:val="clear" w:color="auto" w:fill="auto"/>
        <w:bidi w:val="0"/>
        <w:jc w:val="left"/>
        <w:spacing w:before="0" w:after="0" w:line="210" w:lineRule="exact"/>
        <w:ind w:left="100" w:right="0" w:firstLine="0"/>
      </w:pPr>
      <w:r>
        <w:rPr>
          <w:rStyle w:val="CharStyle4"/>
          <w:spacing w:val="0"/>
        </w:rPr>
        <w:t>Ю.Р. Дедух</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5" w:lineRule="exact"/>
      </w:pPr>
    </w:p>
    <w:p>
      <w:pPr>
        <w:widowControl w:val="0"/>
        <w:rPr>
          <w:sz w:val="2"/>
          <w:szCs w:val="2"/>
        </w:rPr>
        <w:sectPr>
          <w:type w:val="continuous"/>
          <w:pgSz w:w="11906" w:h="16838"/>
          <w:pgMar w:top="345" w:left="825" w:right="825" w:bottom="345" w:header="0" w:footer="3" w:gutter="0"/>
          <w:rtlGutter w:val="0"/>
          <w:cols w:space="720"/>
          <w:noEndnote/>
          <w:docGrid w:linePitch="360"/>
        </w:sectPr>
      </w:pPr>
    </w:p>
    <w:p>
      <w:pPr>
        <w:pStyle w:val="Style25"/>
        <w:widowControl w:val="0"/>
        <w:keepNext w:val="0"/>
        <w:keepLines w:val="0"/>
        <w:shd w:val="clear" w:color="auto" w:fill="auto"/>
        <w:bidi w:val="0"/>
        <w:spacing w:before="330" w:after="89"/>
        <w:ind w:left="0" w:right="0" w:firstLine="0"/>
      </w:pPr>
      <w:r>
        <w:rPr>
          <w:rStyle w:val="CharStyle27"/>
        </w:rPr>
        <w:t>ФЕДЕРАЛЬНАЯ АНТИМОНОПОЛЬНАЯ СЛУЖБА</w:t>
      </w:r>
    </w:p>
    <w:p>
      <w:pPr>
        <w:pStyle w:val="Style9"/>
        <w:widowControl w:val="0"/>
        <w:keepNext w:val="0"/>
        <w:keepLines w:val="0"/>
        <w:shd w:val="clear" w:color="auto" w:fill="auto"/>
        <w:bidi w:val="0"/>
        <w:spacing w:before="0" w:after="184"/>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0"/>
        <w:ind w:left="0" w:right="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Муниципальное казенное учреждение Зерноградского городского поселения «Управление жилищно- коммунального хозяйства, архитектуры, имущественных отношений, гражданской обороны и чрезвычайных ситуаций»</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Заказчик)</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Мира, д. 16, г. Зерноград,</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Ростовская область 347740</w:t>
      </w:r>
    </w:p>
    <w:p>
      <w:pPr>
        <w:pStyle w:val="Style3"/>
        <w:widowControl w:val="0"/>
        <w:keepNext w:val="0"/>
        <w:keepLines w:val="0"/>
        <w:shd w:val="clear" w:color="auto" w:fill="auto"/>
        <w:bidi w:val="0"/>
        <w:jc w:val="left"/>
        <w:spacing w:before="0" w:after="0" w:line="277" w:lineRule="exact"/>
        <w:ind w:left="20" w:right="0" w:firstLine="0"/>
        <w:sectPr>
          <w:pgSz w:w="11906" w:h="16838"/>
          <w:pgMar w:top="49" w:left="839" w:right="1804" w:bottom="71" w:header="0" w:footer="3" w:gutter="0"/>
          <w:rtlGutter w:val="0"/>
          <w:cols w:num="2" w:space="720" w:equalWidth="0">
            <w:col w:w="4752" w:space="356"/>
            <w:col w:w="4154"/>
          </w:cols>
          <w:noEndnote/>
          <w:docGrid w:linePitch="360"/>
        </w:sectPr>
      </w:pPr>
      <w:r>
        <w:rPr>
          <w:lang w:val="en-US" w:eastAsia="en-US" w:bidi="en-US"/>
          <w:w w:val="100"/>
          <w:spacing w:val="0"/>
          <w:color w:val="000000"/>
          <w:position w:val="0"/>
        </w:rPr>
        <w:t xml:space="preserve">Email: </w:t>
      </w:r>
      <w:r>
        <w:fldChar w:fldCharType="begin"/>
      </w:r>
      <w:r>
        <w:rPr>
          <w:rStyle w:val="CharStyle17"/>
        </w:rPr>
        <w:instrText> HYPERLINK "mailto:mkuzemograd@mail.ru" </w:instrText>
      </w:r>
      <w:r>
        <w:fldChar w:fldCharType="separate"/>
      </w:r>
      <w:r>
        <w:rPr>
          <w:rStyle w:val="Hyperlink"/>
        </w:rPr>
        <w:t>mkuzemograd@mail.ru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594-01-76</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00" w:wrap="around" w:hAnchor="margin" w:x="-4589" w:y="5223"/>
        <w:widowControl w:val="0"/>
        <w:keepNext w:val="0"/>
        <w:keepLines w:val="0"/>
        <w:shd w:val="clear" w:color="auto" w:fill="auto"/>
        <w:bidi w:val="0"/>
        <w:jc w:val="left"/>
        <w:spacing w:before="0" w:after="0" w:line="200" w:lineRule="exact"/>
        <w:ind w:left="0" w:right="0" w:firstLine="0"/>
      </w:pPr>
      <w:r>
        <w:rPr>
          <w:rStyle w:val="CharStyle29"/>
          <w:spacing w:val="0"/>
        </w:rPr>
        <w:t>На №</w:t>
      </w:r>
    </w:p>
    <w:p>
      <w:pPr>
        <w:pStyle w:val="Style25"/>
        <w:framePr w:h="200" w:wrap="around" w:vAnchor="text" w:hAnchor="margin" w:x="-2757" w:y="-26"/>
        <w:widowControl w:val="0"/>
        <w:keepNext w:val="0"/>
        <w:keepLines w:val="0"/>
        <w:shd w:val="clear" w:color="auto" w:fill="auto"/>
        <w:bidi w:val="0"/>
        <w:jc w:val="left"/>
        <w:spacing w:before="0" w:after="0" w:line="200" w:lineRule="exact"/>
        <w:ind w:left="0" w:right="0" w:firstLine="0"/>
      </w:pPr>
      <w:r>
        <w:rPr>
          <w:rStyle w:val="CharStyle29"/>
          <w:spacing w:val="0"/>
        </w:rPr>
        <w:t>от</w:t>
      </w:r>
    </w:p>
    <w:p>
      <w:pPr>
        <w:pStyle w:val="Style9"/>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ООО «РТС-тендер»</w:t>
      </w:r>
    </w:p>
    <w:p>
      <w:pPr>
        <w:pStyle w:val="Style9"/>
        <w:widowControl w:val="0"/>
        <w:keepNext w:val="0"/>
        <w:keepLines w:val="0"/>
        <w:shd w:val="clear" w:color="auto" w:fill="auto"/>
        <w:bidi w:val="0"/>
        <w:jc w:val="both"/>
        <w:spacing w:before="0" w:after="0" w:line="274" w:lineRule="exact"/>
        <w:ind w:left="20" w:right="22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both"/>
        <w:spacing w:before="0" w:after="0" w:line="274" w:lineRule="exact"/>
        <w:ind w:left="20" w:right="0" w:firstLine="0"/>
        <w:sectPr>
          <w:type w:val="continuous"/>
          <w:pgSz w:w="11906" w:h="16838"/>
          <w:pgMar w:top="49" w:left="5955" w:right="2315" w:bottom="71"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2" w:after="5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tabs>
          <w:tab w:leader="none" w:pos="6348" w:val="left"/>
        </w:tabs>
        <w:widowControl w:val="0"/>
        <w:keepNext w:val="0"/>
        <w:keepLines w:val="0"/>
        <w:shd w:val="clear" w:color="auto" w:fill="auto"/>
        <w:bidi w:val="0"/>
        <w:jc w:val="both"/>
        <w:spacing w:before="0" w:after="0" w:line="274" w:lineRule="exact"/>
        <w:ind w:left="3400" w:right="0" w:firstLine="0"/>
      </w:pPr>
      <w:r>
        <w:rPr>
          <w:lang w:val="ru-RU" w:eastAsia="ru-RU" w:bidi="ru-RU"/>
          <w:w w:val="100"/>
          <w:spacing w:val="0"/>
          <w:color w:val="000000"/>
          <w:position w:val="0"/>
        </w:rPr>
        <w:t>ПРЕДПИСАНИЕ №</w:t>
        <w:tab/>
      </w:r>
      <w:r>
        <w:rPr>
          <w:rStyle w:val="CharStyle30"/>
          <w:b/>
          <w:bCs/>
        </w:rPr>
        <w:t>/</w:t>
      </w:r>
      <w:r>
        <w:rPr>
          <w:lang w:val="ru-RU" w:eastAsia="ru-RU" w:bidi="ru-RU"/>
          <w:w w:val="100"/>
          <w:spacing w:val="0"/>
          <w:color w:val="000000"/>
          <w:position w:val="0"/>
        </w:rPr>
        <w:t>03</w:t>
      </w:r>
    </w:p>
    <w:p>
      <w:pPr>
        <w:pStyle w:val="Style9"/>
        <w:widowControl w:val="0"/>
        <w:keepNext w:val="0"/>
        <w:keepLines w:val="0"/>
        <w:shd w:val="clear" w:color="auto" w:fill="auto"/>
        <w:bidi w:val="0"/>
        <w:spacing w:before="0" w:after="515" w:line="274" w:lineRule="exact"/>
        <w:ind w:left="0" w:right="0" w:firstLine="0"/>
      </w:pPr>
      <w:r>
        <w:rPr>
          <w:lang w:val="ru-RU" w:eastAsia="ru-RU" w:bidi="ru-RU"/>
          <w:w w:val="100"/>
          <w:spacing w:val="0"/>
          <w:color w:val="000000"/>
          <w:position w:val="0"/>
        </w:rPr>
        <w:t>по делу 061/06/54.3-209,213/2021 о нарушении законодательства о контрактной системе в сфере закупок</w:t>
      </w:r>
    </w:p>
    <w:p>
      <w:pPr>
        <w:pStyle w:val="Style3"/>
        <w:numPr>
          <w:ilvl w:val="0"/>
          <w:numId w:val="15"/>
        </w:numPr>
        <w:tabs>
          <w:tab w:leader="none" w:pos="7976" w:val="left"/>
          <w:tab w:leader="none" w:pos="7978" w:val="left"/>
        </w:tabs>
        <w:widowControl w:val="0"/>
        <w:keepNext w:val="0"/>
        <w:keepLines w:val="0"/>
        <w:shd w:val="clear" w:color="auto" w:fill="auto"/>
        <w:bidi w:val="0"/>
        <w:jc w:val="both"/>
        <w:spacing w:before="0" w:after="299" w:line="230" w:lineRule="exact"/>
        <w:ind w:left="0" w:right="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jc w:val="both"/>
        <w:spacing w:before="0" w:after="315" w:line="324" w:lineRule="exact"/>
        <w:ind w:left="0" w:right="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8619" w:val="right"/>
          <w:tab w:leader="none" w:pos="9791" w:val="right"/>
        </w:tabs>
        <w:widowControl w:val="0"/>
        <w:keepNext w:val="0"/>
        <w:keepLines w:val="0"/>
        <w:shd w:val="clear" w:color="auto" w:fill="auto"/>
        <w:bidi w:val="0"/>
        <w:jc w:val="both"/>
        <w:spacing w:before="0" w:after="70" w:line="230" w:lineRule="exact"/>
        <w:ind w:left="0" w:right="0" w:firstLine="580"/>
      </w:pPr>
      <w:r>
        <w:rPr>
          <w:lang w:val="ru-RU" w:eastAsia="ru-RU" w:bidi="ru-RU"/>
          <w:w w:val="100"/>
          <w:spacing w:val="0"/>
          <w:color w:val="000000"/>
          <w:position w:val="0"/>
        </w:rPr>
        <w:t>Председатель Комиссии:</w:t>
        <w:tab/>
        <w:t>М.А.</w:t>
        <w:tab/>
        <w:t>Благодарев</w:t>
      </w:r>
    </w:p>
    <w:p>
      <w:pPr>
        <w:pStyle w:val="Style3"/>
        <w:tabs>
          <w:tab w:leader="none" w:pos="9791" w:val="right"/>
          <w:tab w:leader="none" w:pos="9717" w:val="right"/>
        </w:tabs>
        <w:widowControl w:val="0"/>
        <w:keepNext w:val="0"/>
        <w:keepLines w:val="0"/>
        <w:shd w:val="clear" w:color="auto" w:fill="auto"/>
        <w:bidi w:val="0"/>
        <w:jc w:val="both"/>
        <w:spacing w:before="0" w:after="59" w:line="230" w:lineRule="exact"/>
        <w:ind w:left="0" w:right="0" w:firstLine="580"/>
      </w:pPr>
      <w:r>
        <w:rPr>
          <w:lang w:val="ru-RU" w:eastAsia="ru-RU" w:bidi="ru-RU"/>
          <w:w w:val="100"/>
          <w:spacing w:val="0"/>
          <w:color w:val="000000"/>
          <w:position w:val="0"/>
        </w:rPr>
        <w:t>Члены Комиссии:</w:t>
        <w:tab/>
        <w:t>С.А.</w:t>
        <w:tab/>
        <w:t>Иванкова</w:t>
      </w:r>
    </w:p>
    <w:p>
      <w:pPr>
        <w:pStyle w:val="Style3"/>
        <w:widowControl w:val="0"/>
        <w:keepNext w:val="0"/>
        <w:keepLines w:val="0"/>
        <w:shd w:val="clear" w:color="auto" w:fill="auto"/>
        <w:bidi w:val="0"/>
        <w:jc w:val="left"/>
        <w:spacing w:before="0" w:after="297" w:line="230" w:lineRule="exact"/>
        <w:ind w:left="816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310" w:line="317" w:lineRule="exact"/>
        <w:ind w:left="0" w:right="0" w:firstLine="580"/>
      </w:pPr>
      <w:r>
        <w:rPr>
          <w:lang w:val="ru-RU" w:eastAsia="ru-RU" w:bidi="ru-RU"/>
          <w:w w:val="100"/>
          <w:spacing w:val="0"/>
          <w:color w:val="000000"/>
          <w:position w:val="0"/>
        </w:rPr>
        <w:t>на основании решения от 05.02.2021 года по делу №061/06/54.3-209,213/2020, о нарушении Заказчиком 4.15 ст.108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№0158600000420000037 «Выполнение мероприятий,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на территории Зерноградского городского поселения Зерноградского района Ростовской области» (далее — конкурс),</w:t>
      </w:r>
    </w:p>
    <w:p>
      <w:pPr>
        <w:pStyle w:val="Style9"/>
        <w:widowControl w:val="0"/>
        <w:keepNext w:val="0"/>
        <w:keepLines w:val="0"/>
        <w:shd w:val="clear" w:color="auto" w:fill="auto"/>
        <w:bidi w:val="0"/>
        <w:jc w:val="left"/>
        <w:spacing w:before="0" w:after="366" w:line="230" w:lineRule="exact"/>
        <w:ind w:left="3540" w:right="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jc w:val="both"/>
        <w:spacing w:before="0" w:after="30" w:line="230" w:lineRule="exact"/>
        <w:ind w:left="0" w:right="0" w:firstLine="580"/>
      </w:pPr>
      <w:r>
        <w:rPr>
          <w:lang w:val="ru-RU" w:eastAsia="ru-RU" w:bidi="ru-RU"/>
          <w:w w:val="100"/>
          <w:spacing w:val="0"/>
          <w:color w:val="000000"/>
          <w:position w:val="0"/>
        </w:rPr>
        <w:t>Заказчику, конкурсной комиссии Заказчика, Оператору электронной площадки:</w:t>
      </w:r>
    </w:p>
    <w:p>
      <w:pPr>
        <w:pStyle w:val="Style3"/>
        <w:numPr>
          <w:ilvl w:val="0"/>
          <w:numId w:val="17"/>
        </w:numPr>
        <w:tabs>
          <w:tab w:leader="none" w:pos="1912" w:val="center"/>
          <w:tab w:leader="none" w:pos="3352" w:val="center"/>
          <w:tab w:leader="none" w:pos="4422" w:val="left"/>
          <w:tab w:leader="none" w:pos="1426" w:val="left"/>
        </w:tabs>
        <w:widowControl w:val="0"/>
        <w:keepNext w:val="0"/>
        <w:keepLines w:val="0"/>
        <w:shd w:val="clear" w:color="auto" w:fill="auto"/>
        <w:bidi w:val="0"/>
        <w:jc w:val="both"/>
        <w:spacing w:before="0" w:after="358" w:line="230" w:lineRule="exact"/>
        <w:ind w:left="0" w:right="0" w:firstLine="580"/>
      </w:pPr>
      <w:r>
        <w:rPr>
          <w:lang w:val="ru-RU" w:eastAsia="ru-RU" w:bidi="ru-RU"/>
          <w:w w:val="100"/>
          <w:spacing w:val="0"/>
          <w:color w:val="000000"/>
          <w:position w:val="0"/>
        </w:rPr>
        <w:t>Отменить</w:t>
        <w:tab/>
        <w:t>сформированные</w:t>
        <w:tab/>
        <w:t>в ходе проведения закупки протоколы;</w:t>
      </w:r>
    </w:p>
    <w:p>
      <w:pPr>
        <w:pStyle w:val="Style19"/>
        <w:widowControl w:val="0"/>
        <w:keepNext/>
        <w:keepLines/>
        <w:shd w:val="clear" w:color="auto" w:fill="auto"/>
        <w:bidi w:val="0"/>
        <w:spacing w:before="0" w:after="0" w:line="340" w:lineRule="exact"/>
        <w:ind w:left="0" w:right="200" w:firstLine="0"/>
        <w:sectPr>
          <w:type w:val="continuous"/>
          <w:pgSz w:w="11906" w:h="16838"/>
          <w:pgMar w:top="49" w:left="994" w:right="836" w:bottom="71" w:header="0" w:footer="3" w:gutter="0"/>
          <w:rtlGutter w:val="0"/>
          <w:cols w:space="720"/>
          <w:noEndnote/>
          <w:docGrid w:linePitch="360"/>
        </w:sectPr>
      </w:pPr>
      <w:bookmarkStart w:id="3" w:name="bookmark3"/>
      <w:r>
        <w:rPr>
          <w:lang w:val="ru-RU" w:eastAsia="ru-RU" w:bidi="ru-RU"/>
          <w:w w:val="100"/>
          <w:spacing w:val="0"/>
          <w:color w:val="000000"/>
          <w:position w:val="0"/>
        </w:rPr>
        <w:t>018245</w:t>
      </w:r>
      <w:bookmarkEnd w:id="3"/>
    </w:p>
    <w:p>
      <w:pPr>
        <w:pStyle w:val="Style3"/>
        <w:numPr>
          <w:ilvl w:val="0"/>
          <w:numId w:val="17"/>
        </w:numPr>
        <w:tabs>
          <w:tab w:leader="none" w:pos="1433" w:val="left"/>
        </w:tabs>
        <w:widowControl w:val="0"/>
        <w:keepNext w:val="0"/>
        <w:keepLines w:val="0"/>
        <w:shd w:val="clear" w:color="auto" w:fill="auto"/>
        <w:bidi w:val="0"/>
        <w:jc w:val="both"/>
        <w:spacing w:before="0" w:after="0" w:line="230" w:lineRule="exact"/>
        <w:ind w:left="0" w:right="0" w:firstLine="580"/>
      </w:pPr>
      <w:r>
        <w:rPr>
          <w:lang w:val="ru-RU" w:eastAsia="ru-RU" w:bidi="ru-RU"/>
          <w:w w:val="100"/>
          <w:spacing w:val="0"/>
          <w:color w:val="000000"/>
          <w:position w:val="0"/>
        </w:rPr>
        <w:t>Внести изменения в документацию об открытом конкурсе в электронной форме в</w:t>
      </w:r>
    </w:p>
    <w:p>
      <w:pPr>
        <w:pStyle w:val="Style3"/>
        <w:widowControl w:val="0"/>
        <w:keepNext w:val="0"/>
        <w:keepLines w:val="0"/>
        <w:shd w:val="clear" w:color="auto" w:fill="auto"/>
        <w:bidi w:val="0"/>
        <w:jc w:val="both"/>
        <w:spacing w:before="0" w:after="0" w:line="313" w:lineRule="exact"/>
        <w:ind w:left="0" w:right="20" w:firstLine="0"/>
      </w:pPr>
      <w:r>
        <w:rPr>
          <w:lang w:val="ru-RU" w:eastAsia="ru-RU" w:bidi="ru-RU"/>
          <w:w w:val="100"/>
          <w:spacing w:val="0"/>
          <w:color w:val="000000"/>
          <w:position w:val="0"/>
        </w:rPr>
        <w:t>соответствии с требованиями Закона и решения по делу №061/06/54.3-209,213/2020 от 05.02.2021;</w:t>
      </w:r>
    </w:p>
    <w:p>
      <w:pPr>
        <w:pStyle w:val="Style3"/>
        <w:numPr>
          <w:ilvl w:val="0"/>
          <w:numId w:val="17"/>
        </w:numPr>
        <w:tabs>
          <w:tab w:leader="none" w:pos="1433" w:val="left"/>
        </w:tabs>
        <w:widowControl w:val="0"/>
        <w:keepNext w:val="0"/>
        <w:keepLines w:val="0"/>
        <w:shd w:val="clear" w:color="auto" w:fill="auto"/>
        <w:bidi w:val="0"/>
        <w:jc w:val="both"/>
        <w:spacing w:before="0" w:after="1" w:line="230" w:lineRule="exact"/>
        <w:ind w:left="0" w:right="0" w:firstLine="580"/>
      </w:pPr>
      <w:r>
        <w:rPr>
          <w:lang w:val="ru-RU" w:eastAsia="ru-RU" w:bidi="ru-RU"/>
          <w:w w:val="100"/>
          <w:spacing w:val="0"/>
          <w:color w:val="000000"/>
          <w:position w:val="0"/>
        </w:rPr>
        <w:t>Продлить срок подачи заявок в соответствии со ст.54.4 Закона.</w:t>
      </w:r>
    </w:p>
    <w:p>
      <w:pPr>
        <w:pStyle w:val="Style3"/>
        <w:widowControl w:val="0"/>
        <w:keepNext w:val="0"/>
        <w:keepLines w:val="0"/>
        <w:shd w:val="clear" w:color="auto" w:fill="auto"/>
        <w:bidi w:val="0"/>
        <w:jc w:val="both"/>
        <w:spacing w:before="0" w:after="0" w:line="317" w:lineRule="exact"/>
        <w:ind w:left="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3"/>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 xml:space="preserve">Предписание должно быть исполнено в срок </w:t>
      </w:r>
      <w:r>
        <w:rPr>
          <w:rStyle w:val="CharStyle31"/>
        </w:rPr>
        <w:t>до 25.03.2021.</w:t>
      </w:r>
    </w:p>
    <w:p>
      <w:pPr>
        <w:pStyle w:val="Style3"/>
        <w:widowControl w:val="0"/>
        <w:keepNext w:val="0"/>
        <w:keepLines w:val="0"/>
        <w:shd w:val="clear" w:color="auto" w:fill="auto"/>
        <w:bidi w:val="0"/>
        <w:jc w:val="both"/>
        <w:spacing w:before="0" w:after="0" w:line="317" w:lineRule="exact"/>
        <w:ind w:left="0" w:right="20" w:firstLine="580"/>
      </w:pPr>
      <w:r>
        <w:rPr>
          <w:lang w:val="ru-RU" w:eastAsia="ru-RU" w:bidi="ru-RU"/>
          <w:w w:val="100"/>
          <w:spacing w:val="0"/>
          <w:color w:val="000000"/>
          <w:position w:val="0"/>
        </w:rPr>
        <w:t xml:space="preserve">Об исполнении настоящего предписания в срок </w:t>
      </w:r>
      <w:r>
        <w:rPr>
          <w:rStyle w:val="CharStyle31"/>
        </w:rPr>
        <w:t xml:space="preserve">до 26.03.2021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jc w:val="both"/>
        <w:spacing w:before="0" w:after="283" w:line="317" w:lineRule="exact"/>
        <w:ind w:left="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12"/>
        <w:widowControl w:val="0"/>
        <w:keepNext w:val="0"/>
        <w:keepLines w:val="0"/>
        <w:shd w:val="clear" w:color="auto" w:fill="auto"/>
        <w:bidi w:val="0"/>
        <w:jc w:val="both"/>
        <w:spacing w:before="0" w:after="0" w:line="263" w:lineRule="exact"/>
        <w:ind w:left="0" w:right="20" w:firstLine="580"/>
        <w:sectPr>
          <w:pgSz w:w="11906" w:h="16838"/>
          <w:pgMar w:top="1322" w:left="918" w:right="914" w:bottom="6513" w:header="0" w:footer="3" w:gutter="0"/>
          <w:rtlGutter w:val="0"/>
          <w:cols w:space="720"/>
          <w:noEndnote/>
          <w:docGrid w:linePitch="360"/>
        </w:sectPr>
      </w:pPr>
      <w:r>
        <w:rPr>
          <w:lang w:val="ru-RU" w:eastAsia="ru-RU" w:bidi="ru-RU"/>
          <w:w w:val="100"/>
          <w:spacing w:val="0"/>
          <w:color w:val="000000"/>
          <w:position w:val="0"/>
        </w:rPr>
        <w:t>Примечание: согласно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w:t>
      </w:r>
    </w:p>
    <w:p>
      <w:pPr>
        <w:pStyle w:val="Style12"/>
        <w:framePr w:w="10267" w:h="459" w:wrap="none" w:vAnchor="text" w:hAnchor="margin" w:x="-69" w:y="3"/>
        <w:widowControl w:val="0"/>
        <w:keepNext w:val="0"/>
        <w:keepLines w:val="0"/>
        <w:shd w:val="clear" w:color="auto" w:fill="auto"/>
        <w:bidi w:val="0"/>
        <w:jc w:val="both"/>
        <w:spacing w:before="0" w:after="0" w:line="263" w:lineRule="exact"/>
        <w:ind w:left="100" w:right="100" w:firstLine="0"/>
      </w:pPr>
      <w:r>
        <w:rPr>
          <w:rStyle w:val="CharStyle32"/>
          <w:spacing w:val="0"/>
        </w:rPr>
        <w:t>уполномоченного на осуществление контроля в сфере закупок, влечет наложение адмцнийратиЕ</w:t>
      </w:r>
      <w:r>
        <w:rPr>
          <w:rStyle w:val="CharStyle32"/>
          <w:vertAlign w:val="superscript"/>
          <w:spacing w:val="0"/>
        </w:rPr>
        <w:t>-</w:t>
      </w:r>
      <w:r>
        <w:rPr>
          <w:rStyle w:val="CharStyle32"/>
          <w:spacing w:val="0"/>
        </w:rPr>
        <w:t xml:space="preserve"> штрафа на должностных лиц в размере пятидесяти тысяч рублей; на юридических лиц - пятисот тысяч рублей.</w:t>
      </w:r>
    </w:p>
    <w:p>
      <w:pPr>
        <w:widowControl w:val="0"/>
        <w:spacing w:line="539" w:lineRule="exact"/>
      </w:pPr>
    </w:p>
    <w:p>
      <w:pPr>
        <w:widowControl w:val="0"/>
        <w:rPr>
          <w:sz w:val="2"/>
          <w:szCs w:val="2"/>
        </w:rPr>
        <w:sectPr>
          <w:type w:val="continuous"/>
          <w:pgSz w:w="11906" w:h="16838"/>
          <w:pgMar w:top="742" w:left="889" w:right="889" w:bottom="742"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1322" w:left="1494" w:right="7546" w:bottom="6513"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notBeside" w:vAnchor="text" w:hAnchor="margin" w:x="8020" w:y="1265"/>
        <w:widowControl w:val="0"/>
        <w:keepNext w:val="0"/>
        <w:keepLines w:val="0"/>
        <w:shd w:val="clear" w:color="auto" w:fill="auto"/>
        <w:bidi w:val="0"/>
        <w:jc w:val="left"/>
        <w:spacing w:before="0" w:after="0" w:line="210" w:lineRule="exact"/>
        <w:ind w:left="100" w:right="0" w:firstLine="0"/>
      </w:pPr>
      <w:r>
        <w:rPr>
          <w:rStyle w:val="CharStyle4"/>
          <w:spacing w:val="0"/>
        </w:rPr>
        <w:t>Ю.Р. Дедух</w:t>
      </w:r>
    </w:p>
    <w:p>
      <w:pPr>
        <w:pStyle w:val="Style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1322" w:left="1487" w:right="8349" w:bottom="65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5.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5"/>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021"/>
      <w:numFmt w:val="decimal"/>
      <w:lvlText w:val="05.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5">
    <w:name w:val="Основной текст Exact"/>
    <w:basedOn w:val="CharStyle15"/>
    <w:rPr>
      <w:sz w:val="21"/>
      <w:szCs w:val="21"/>
      <w:spacing w:val="3"/>
    </w:rPr>
  </w:style>
  <w:style w:type="character" w:customStyle="1" w:styleId="CharStyle7">
    <w:name w:val="Основной текст (2)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ru-RU" w:eastAsia="ru-RU" w:bidi="ru-RU"/>
      <w:w w:val="100"/>
      <w:spacing w:val="0"/>
      <w:color w:val="000000"/>
      <w:position w:val="0"/>
    </w:rPr>
  </w:style>
  <w:style w:type="character" w:customStyle="1" w:styleId="CharStyle17">
    <w:name w:val="Основной текст"/>
    <w:basedOn w:val="CharStyle15"/>
    <w:rPr>
      <w:lang w:val="en-US" w:eastAsia="en-US" w:bidi="en-US"/>
      <w:u w:val="single"/>
      <w:w w:val="100"/>
      <w:spacing w:val="0"/>
      <w:color w:val="000000"/>
      <w:position w:val="0"/>
    </w:rPr>
  </w:style>
  <w:style w:type="character" w:customStyle="1" w:styleId="CharStyle18">
    <w:name w:val="Основной текст (3) + Курсив"/>
    <w:basedOn w:val="CharStyle10"/>
    <w:rPr>
      <w:lang w:val="ru-RU" w:eastAsia="ru-RU" w:bidi="ru-RU"/>
      <w:i/>
      <w:iCs/>
      <w:w w:val="100"/>
      <w:spacing w:val="0"/>
      <w:color w:val="000000"/>
      <w:position w:val="0"/>
    </w:rPr>
  </w:style>
  <w:style w:type="character" w:customStyle="1" w:styleId="CharStyle20">
    <w:name w:val="Заголовок №1_"/>
    <w:basedOn w:val="DefaultParagraphFont"/>
    <w:link w:val="Style19"/>
    <w:rPr>
      <w:b w:val="0"/>
      <w:bCs w:val="0"/>
      <w:i w:val="0"/>
      <w:iCs w:val="0"/>
      <w:u w:val="none"/>
      <w:strike w:val="0"/>
      <w:smallCaps w:val="0"/>
      <w:sz w:val="34"/>
      <w:szCs w:val="34"/>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iCs/>
      <w:u w:val="none"/>
      <w:strike w:val="0"/>
      <w:smallCaps w:val="0"/>
      <w:sz w:val="23"/>
      <w:szCs w:val="23"/>
      <w:rFonts w:ascii="Times New Roman" w:eastAsia="Times New Roman" w:hAnsi="Times New Roman" w:cs="Times New Roman"/>
    </w:rPr>
  </w:style>
  <w:style w:type="character" w:customStyle="1" w:styleId="CharStyle23">
    <w:name w:val="Основной текст (5) + Не курсив"/>
    <w:basedOn w:val="CharStyle22"/>
    <w:rPr>
      <w:lang w:val="ru-RU" w:eastAsia="ru-RU" w:bidi="ru-RU"/>
      <w:i/>
      <w:iCs/>
      <w:w w:val="100"/>
      <w:spacing w:val="0"/>
      <w:color w:val="000000"/>
      <w:position w:val="0"/>
    </w:rPr>
  </w:style>
  <w:style w:type="character" w:customStyle="1" w:styleId="CharStyle24">
    <w:name w:val="Основной текст + Курсив"/>
    <w:basedOn w:val="CharStyle15"/>
    <w:rPr>
      <w:lang w:val="ru-RU" w:eastAsia="ru-RU" w:bidi="ru-RU"/>
      <w:i/>
      <w:iCs/>
      <w:w w:val="100"/>
      <w:spacing w:val="0"/>
      <w:color w:val="000000"/>
      <w:position w:val="0"/>
    </w:rPr>
  </w:style>
  <w:style w:type="character" w:customStyle="1" w:styleId="CharStyle26">
    <w:name w:val="Основной текст (6)_"/>
    <w:basedOn w:val="DefaultParagraphFont"/>
    <w:link w:val="Style25"/>
    <w:rPr>
      <w:b w:val="0"/>
      <w:bCs w:val="0"/>
      <w:i w:val="0"/>
      <w:iCs w:val="0"/>
      <w:u w:val="none"/>
      <w:strike w:val="0"/>
      <w:smallCaps w:val="0"/>
      <w:sz w:val="21"/>
      <w:szCs w:val="21"/>
      <w:rFonts w:ascii="Times New Roman" w:eastAsia="Times New Roman" w:hAnsi="Times New Roman" w:cs="Times New Roman"/>
    </w:rPr>
  </w:style>
  <w:style w:type="character" w:customStyle="1" w:styleId="CharStyle27">
    <w:name w:val="Основной текст (6)"/>
    <w:basedOn w:val="CharStyle26"/>
    <w:rPr>
      <w:lang w:val="ru-RU" w:eastAsia="ru-RU" w:bidi="ru-RU"/>
      <w:w w:val="100"/>
      <w:spacing w:val="0"/>
      <w:color w:val="000000"/>
      <w:position w:val="0"/>
    </w:rPr>
  </w:style>
  <w:style w:type="character" w:customStyle="1" w:styleId="CharStyle28">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9">
    <w:name w:val="Основной текст (6) Exact"/>
    <w:basedOn w:val="CharStyle26"/>
    <w:rPr>
      <w:lang w:val="ru-RU" w:eastAsia="ru-RU" w:bidi="ru-RU"/>
      <w:sz w:val="20"/>
      <w:szCs w:val="20"/>
      <w:w w:val="100"/>
      <w:spacing w:val="7"/>
      <w:color w:val="000000"/>
      <w:position w:val="0"/>
    </w:rPr>
  </w:style>
  <w:style w:type="character" w:customStyle="1" w:styleId="CharStyle30">
    <w:name w:val="Основной текст (3)"/>
    <w:basedOn w:val="CharStyle10"/>
    <w:rPr>
      <w:lang w:val="ru-RU" w:eastAsia="ru-RU" w:bidi="ru-RU"/>
      <w:u w:val="single"/>
      <w:w w:val="100"/>
      <w:spacing w:val="0"/>
      <w:color w:val="000000"/>
      <w:position w:val="0"/>
    </w:rPr>
  </w:style>
  <w:style w:type="character" w:customStyle="1" w:styleId="CharStyle31">
    <w:name w:val="Основной текст + Полужирный"/>
    <w:basedOn w:val="CharStyle15"/>
    <w:rPr>
      <w:lang w:val="ru-RU" w:eastAsia="ru-RU" w:bidi="ru-RU"/>
      <w:b/>
      <w:bCs/>
      <w:w w:val="100"/>
      <w:spacing w:val="0"/>
      <w:color w:val="000000"/>
      <w:position w:val="0"/>
    </w:rPr>
  </w:style>
  <w:style w:type="character" w:customStyle="1" w:styleId="CharStyle32">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paragraph" w:customStyle="1" w:styleId="Style3">
    <w:name w:val="Основной текст"/>
    <w:basedOn w:val="Normal"/>
    <w:link w:val="CharStyle15"/>
    <w:pPr>
      <w:widowControl w:val="0"/>
      <w:shd w:val="clear" w:color="auto" w:fill="FFFFFF"/>
      <w:spacing w:before="8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7"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after="840" w:line="18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right"/>
      <w:outlineLvl w:val="0"/>
      <w:spacing w:before="5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center"/>
      <w:spacing w:before="360" w:after="120" w:line="227"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