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244"/>
        <w:ind w:left="5300" w:right="960" w:firstLine="0"/>
      </w:pPr>
      <w:r>
        <w:rPr>
          <w:lang w:val="ru-RU" w:eastAsia="ru-RU" w:bidi="ru-RU"/>
          <w:w w:val="100"/>
          <w:spacing w:val="0"/>
          <w:color w:val="000000"/>
          <w:position w:val="0"/>
        </w:rPr>
        <w:t>Администрация поселения Марушкинское</w:t>
      </w:r>
    </w:p>
    <w:p>
      <w:pPr>
        <w:pStyle w:val="Style3"/>
        <w:widowControl w:val="0"/>
        <w:keepNext w:val="0"/>
        <w:keepLines w:val="0"/>
        <w:shd w:val="clear" w:color="auto" w:fill="auto"/>
        <w:bidi w:val="0"/>
        <w:jc w:val="left"/>
        <w:spacing w:before="0" w:after="0" w:line="317" w:lineRule="exact"/>
        <w:ind w:left="5300" w:right="0" w:firstLine="0"/>
      </w:pPr>
      <w:r>
        <w:rPr>
          <w:lang w:val="ru-RU" w:eastAsia="ru-RU" w:bidi="ru-RU"/>
          <w:w w:val="100"/>
          <w:spacing w:val="0"/>
          <w:color w:val="000000"/>
          <w:position w:val="0"/>
        </w:rPr>
        <w:t>ул. Липовая аллея, д. 5,</w:t>
      </w:r>
    </w:p>
    <w:p>
      <w:pPr>
        <w:pStyle w:val="Style3"/>
        <w:widowControl w:val="0"/>
        <w:keepNext w:val="0"/>
        <w:keepLines w:val="0"/>
        <w:shd w:val="clear" w:color="auto" w:fill="auto"/>
        <w:bidi w:val="0"/>
        <w:jc w:val="left"/>
        <w:spacing w:before="0" w:after="0" w:line="317" w:lineRule="exact"/>
        <w:ind w:left="5300" w:right="0" w:firstLine="0"/>
      </w:pPr>
      <w:r>
        <w:rPr>
          <w:lang w:val="ru-RU" w:eastAsia="ru-RU" w:bidi="ru-RU"/>
          <w:w w:val="100"/>
          <w:spacing w:val="0"/>
          <w:color w:val="000000"/>
          <w:position w:val="0"/>
        </w:rPr>
        <w:t>пос. Марушкинское,</w:t>
      </w:r>
    </w:p>
    <w:p>
      <w:pPr>
        <w:pStyle w:val="Style3"/>
        <w:widowControl w:val="0"/>
        <w:keepNext w:val="0"/>
        <w:keepLines w:val="0"/>
        <w:shd w:val="clear" w:color="auto" w:fill="auto"/>
        <w:bidi w:val="0"/>
        <w:jc w:val="left"/>
        <w:spacing w:before="0" w:after="286" w:line="317" w:lineRule="exact"/>
        <w:ind w:left="5300" w:right="0" w:firstLine="0"/>
      </w:pPr>
      <w:r>
        <w:rPr>
          <w:lang w:val="ru-RU" w:eastAsia="ru-RU" w:bidi="ru-RU"/>
          <w:w w:val="100"/>
          <w:spacing w:val="0"/>
          <w:color w:val="000000"/>
          <w:position w:val="0"/>
        </w:rPr>
        <w:t>д. Марушкино, г. Москва, 108809</w:t>
      </w:r>
    </w:p>
    <w:p>
      <w:pPr>
        <w:pStyle w:val="Style3"/>
        <w:widowControl w:val="0"/>
        <w:keepNext w:val="0"/>
        <w:keepLines w:val="0"/>
        <w:shd w:val="clear" w:color="auto" w:fill="auto"/>
        <w:bidi w:val="0"/>
        <w:jc w:val="left"/>
        <w:spacing w:before="0" w:after="308" w:line="260" w:lineRule="exact"/>
        <w:ind w:left="5300" w:right="0" w:firstLine="0"/>
      </w:pPr>
      <w:r>
        <w:rPr>
          <w:lang w:val="ru-RU" w:eastAsia="ru-RU" w:bidi="ru-RU"/>
          <w:w w:val="100"/>
          <w:spacing w:val="0"/>
          <w:color w:val="000000"/>
          <w:position w:val="0"/>
        </w:rPr>
        <w:t>ИП Крыцкий П.Г.</w:t>
      </w:r>
    </w:p>
    <w:p>
      <w:pPr>
        <w:pStyle w:val="Style3"/>
        <w:widowControl w:val="0"/>
        <w:keepNext w:val="0"/>
        <w:keepLines w:val="0"/>
        <w:shd w:val="clear" w:color="auto" w:fill="auto"/>
        <w:bidi w:val="0"/>
        <w:jc w:val="left"/>
        <w:spacing w:before="0" w:after="289"/>
        <w:ind w:left="5300" w:right="40" w:firstLine="0"/>
      </w:pPr>
      <w:r>
        <w:rPr>
          <w:lang w:val="ru-RU" w:eastAsia="ru-RU" w:bidi="ru-RU"/>
          <w:w w:val="100"/>
          <w:spacing w:val="0"/>
          <w:color w:val="000000"/>
          <w:position w:val="0"/>
        </w:rPr>
        <w:t>ул. Карбышева, д. 29, кв. 113, г. Красногорск, Московская обл., 143408</w:t>
      </w:r>
    </w:p>
    <w:p>
      <w:pPr>
        <w:pStyle w:val="Style3"/>
        <w:widowControl w:val="0"/>
        <w:keepNext w:val="0"/>
        <w:keepLines w:val="0"/>
        <w:shd w:val="clear" w:color="auto" w:fill="auto"/>
        <w:bidi w:val="0"/>
        <w:jc w:val="left"/>
        <w:spacing w:before="0" w:after="312" w:line="260" w:lineRule="exact"/>
        <w:ind w:left="5300" w:right="0" w:firstLine="0"/>
      </w:pPr>
      <w:r>
        <w:rPr>
          <w:lang w:val="ru-RU" w:eastAsia="ru-RU" w:bidi="ru-RU"/>
          <w:w w:val="100"/>
          <w:spacing w:val="0"/>
          <w:color w:val="000000"/>
          <w:position w:val="0"/>
        </w:rPr>
        <w:t>ООО «РТС-тендер»</w:t>
      </w:r>
    </w:p>
    <w:p>
      <w:pPr>
        <w:pStyle w:val="Style3"/>
        <w:widowControl w:val="0"/>
        <w:keepNext w:val="0"/>
        <w:keepLines w:val="0"/>
        <w:shd w:val="clear" w:color="auto" w:fill="auto"/>
        <w:bidi w:val="0"/>
        <w:jc w:val="left"/>
        <w:spacing w:before="0" w:after="840" w:line="317" w:lineRule="exact"/>
        <w:ind w:left="5300" w:right="40" w:firstLine="0"/>
      </w:pPr>
      <w:r>
        <w:rPr>
          <w:lang w:val="ru-RU" w:eastAsia="ru-RU" w:bidi="ru-RU"/>
          <w:w w:val="100"/>
          <w:spacing w:val="0"/>
          <w:color w:val="000000"/>
          <w:position w:val="0"/>
        </w:rPr>
        <w:t>Наб. Тараса Шевченко, д. 23-А, г. Москва, 121151</w:t>
      </w:r>
    </w:p>
    <w:p>
      <w:pPr>
        <w:pStyle w:val="Style6"/>
        <w:tabs>
          <w:tab w:leader="none" w:pos="9116" w:val="right"/>
          <w:tab w:leader="none" w:pos="10172" w:val="right"/>
        </w:tabs>
        <w:widowControl w:val="0"/>
        <w:keepNext w:val="0"/>
        <w:keepLines w:val="0"/>
        <w:shd w:val="clear" w:color="auto" w:fill="auto"/>
        <w:bidi w:val="0"/>
        <w:jc w:val="left"/>
        <w:spacing w:before="0" w:after="0"/>
        <w:ind w:left="20" w:right="40" w:firstLine="4340"/>
      </w:pPr>
      <w:r>
        <w:rPr>
          <w:lang w:val="ru-RU" w:eastAsia="ru-RU" w:bidi="ru-RU"/>
          <w:w w:val="100"/>
          <w:spacing w:val="0"/>
          <w:color w:val="000000"/>
          <w:position w:val="0"/>
        </w:rPr>
        <w:t>РЕШЕНИЕ по делу № 077/06/106-1638/2021 о нарушении законодательства о контрактной системе 03.02.2021</w:t>
        <w:tab/>
        <w:t>г.</w:t>
        <w:tab/>
        <w:t>Москва</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Специалиста первого разряда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tabs>
          <w:tab w:leader="none" w:pos="625" w:val="left"/>
        </w:tabs>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Н.А. Узкого,</w:t>
      </w:r>
    </w:p>
    <w:p>
      <w:pPr>
        <w:pStyle w:val="Style3"/>
        <w:widowControl w:val="0"/>
        <w:keepNext w:val="0"/>
        <w:keepLines w:val="0"/>
        <w:shd w:val="clear" w:color="auto" w:fill="auto"/>
        <w:bidi w:val="0"/>
        <w:jc w:val="both"/>
        <w:spacing w:before="0" w:after="0" w:line="317" w:lineRule="exact"/>
        <w:ind w:left="20" w:right="40" w:firstLine="70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Президента Российской Федерации от 11.05.2020 № 316 «Об определении порядка продления действия мер по обеспечению санитарно</w:t>
        <w:softHyphen/>
        <w:t xml:space="preserve">эпидемиологического благополучия населения в субъектах Российской Федерации в связи с распространением новой коронавирусной инфекции </w:t>
      </w:r>
      <w:r>
        <w:rPr>
          <w:lang w:val="en-US" w:eastAsia="en-US" w:bidi="en-US"/>
          <w:w w:val="100"/>
          <w:spacing w:val="0"/>
          <w:color w:val="000000"/>
          <w:position w:val="0"/>
        </w:rPr>
        <w:t>(COVID-19)»,</w:t>
      </w:r>
    </w:p>
    <w:p>
      <w:pPr>
        <w:pStyle w:val="Style3"/>
        <w:tabs>
          <w:tab w:leader="none" w:pos="5626" w:val="center"/>
          <w:tab w:leader="none" w:pos="6854" w:val="left"/>
        </w:tabs>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при участии представителя:</w:t>
        <w:tab/>
        <w:t>Администрации</w:t>
        <w:tab/>
        <w:t>поселения Марушкинское:</w:t>
      </w:r>
    </w:p>
    <w:p>
      <w:pPr>
        <w:pStyle w:val="Style3"/>
        <w:widowControl w:val="0"/>
        <w:keepNext w:val="0"/>
        <w:keepLines w:val="0"/>
        <w:shd w:val="clear" w:color="auto" w:fill="auto"/>
        <w:bidi w:val="0"/>
        <w:jc w:val="both"/>
        <w:spacing w:before="0" w:after="0" w:line="317" w:lineRule="exact"/>
        <w:ind w:left="20" w:right="0" w:firstLine="0"/>
      </w:pPr>
      <w:r>
        <w:rPr>
          <w:lang w:val="ru-RU" w:eastAsia="ru-RU" w:bidi="ru-RU"/>
          <w:w w:val="100"/>
          <w:spacing w:val="0"/>
          <w:color w:val="000000"/>
          <w:position w:val="0"/>
        </w:rPr>
        <w:t>П.Н. Багаудинова (по дов. № б/н от 10.07.2020),</w:t>
      </w:r>
    </w:p>
    <w:p>
      <w:pPr>
        <w:pStyle w:val="Style3"/>
        <w:widowControl w:val="0"/>
        <w:keepNext w:val="0"/>
        <w:keepLines w:val="0"/>
        <w:shd w:val="clear" w:color="auto" w:fill="auto"/>
        <w:bidi w:val="0"/>
        <w:jc w:val="both"/>
        <w:spacing w:before="0" w:after="181" w:line="298" w:lineRule="exact"/>
        <w:ind w:left="20" w:right="40" w:firstLine="700"/>
      </w:pPr>
      <w:r>
        <w:rPr>
          <w:lang w:val="ru-RU" w:eastAsia="ru-RU" w:bidi="ru-RU"/>
          <w:w w:val="100"/>
          <w:spacing w:val="0"/>
          <w:color w:val="000000"/>
          <w:position w:val="0"/>
        </w:rPr>
        <w:t>в отсутствие представителей ИП Крыцкий П.Г., уведомленных о дате и порядке рассмотрения жалобы письмом Московского УФАС России исх. №ЕИ/5183/21 от 01.02.2021,</w:t>
      </w:r>
    </w:p>
    <w:p>
      <w:pPr>
        <w:pStyle w:val="Style8"/>
        <w:widowControl w:val="0"/>
        <w:keepNext w:val="0"/>
        <w:keepLines w:val="0"/>
        <w:shd w:val="clear" w:color="auto" w:fill="auto"/>
        <w:bidi w:val="0"/>
        <w:jc w:val="left"/>
        <w:spacing w:before="0" w:after="0" w:line="240" w:lineRule="auto"/>
        <w:ind w:left="0" w:right="0" w:firstLine="0"/>
      </w:pPr>
      <w:r>
        <w:rPr>
          <w:w w:val="100"/>
          <w:spacing w:val="0"/>
          <w:color w:val="000000"/>
          <w:position w:val="0"/>
        </w:rPr>
        <w:t>000570062621</w:t>
      </w:r>
    </w:p>
    <w:p>
      <w:pPr>
        <w:pStyle w:val="Style3"/>
        <w:tabs>
          <w:tab w:leader="none" w:pos="10206" w:val="righ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рассмотрев жалобу ИП Крыцкий П.Г. (далее — Заявитель) на действия Администрации поселения Марушкинское (далее — Заказчик) при проведении электронного аукциона на право заключения государственного контракта на оказание услуг по организации и проведению мероприятий по молодежной политике на территории поселения Марушкинское (среди субъектов малого предпринимательства или социально ориентированных некоммерческих организаций) (Закупка № 0148300001521000001)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w:t>
      </w:r>
      <w:r>
        <w:rPr>
          <w:rStyle w:val="CharStyle10"/>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tab/>
        <w:t>№727/14</w:t>
      </w:r>
    </w:p>
    <w:p>
      <w:pPr>
        <w:pStyle w:val="Style3"/>
        <w:widowControl w:val="0"/>
        <w:keepNext w:val="0"/>
        <w:keepLines w:val="0"/>
        <w:shd w:val="clear" w:color="auto" w:fill="auto"/>
        <w:bidi w:val="0"/>
        <w:jc w:val="left"/>
        <w:spacing w:before="0" w:after="349"/>
        <w:ind w:left="20" w:right="0" w:firstLine="0"/>
      </w:pPr>
      <w:r>
        <w:rPr>
          <w:lang w:val="ru-RU" w:eastAsia="ru-RU" w:bidi="ru-RU"/>
          <w:w w:val="100"/>
          <w:spacing w:val="0"/>
          <w:color w:val="000000"/>
          <w:position w:val="0"/>
        </w:rPr>
        <w:t>(далее - Административный регламент),</w:t>
      </w:r>
    </w:p>
    <w:p>
      <w:pPr>
        <w:pStyle w:val="Style11"/>
        <w:widowControl w:val="0"/>
        <w:keepNext/>
        <w:keepLines/>
        <w:shd w:val="clear" w:color="auto" w:fill="auto"/>
        <w:bidi w:val="0"/>
        <w:jc w:val="left"/>
        <w:spacing w:before="0" w:after="308"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исх.№ ЕИ/5183/21 от 01.02.2021 документы и сведения.</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протоколу рассмотрения заявок на участие в аукционе от 27.01.2021 №0148300001521000001-1 Заявителю (идентификационный номер заявки 109044023) отказано в допуске к участию в аукционе по следующему основанию: «Отказать в допуске к участию в открытом аукционе в электронной форме участнику размещения заказа: на основании п.1 ч.4 ст.67 Закона 44-ФЗ; (Непредоставление информации, предусмотренной частью 3 статьи 66 Федерального закона 44 ФЗ, а именно: - Участником не предоставлены сведения о конкретных показателях товара, установленных в документации об электронном аукционе)».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соответствии с п.1-2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 а также требования к содержанию, составу заявки на участие в таком аукционе в соответствии с ч.3-6 ст.66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соответствии с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Комиссией Управления установлено, что Заказчиком в Приложении № 3 к технической части Аукционной документации установлены требования к товарам.</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Согласно ч.3 ст.66 Закона о контрактной системе первая часть заявки на участие в электронном аукционе, за исключением случая, предусмотренного ч.3.1 ст.66 Закона о контрактной системе, должна содержать:</w:t>
      </w:r>
    </w:p>
    <w:p>
      <w:pPr>
        <w:pStyle w:val="Style3"/>
        <w:numPr>
          <w:ilvl w:val="0"/>
          <w:numId w:val="1"/>
        </w:numPr>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w:t>
        <w:softHyphen/>
        <w:t>аппаратных средств электронной площадки);</w:t>
      </w:r>
    </w:p>
    <w:p>
      <w:pPr>
        <w:pStyle w:val="Style3"/>
        <w:numPr>
          <w:ilvl w:val="0"/>
          <w:numId w:val="1"/>
        </w:numPr>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3"/>
        <w:widowControl w:val="0"/>
        <w:keepNext w:val="0"/>
        <w:keepLines w:val="0"/>
        <w:shd w:val="clear" w:color="auto" w:fill="auto"/>
        <w:bidi w:val="0"/>
        <w:jc w:val="both"/>
        <w:spacing w:before="0" w:after="0"/>
        <w:ind w:left="0" w:right="0" w:firstLine="700"/>
      </w:pPr>
      <w:r>
        <w:rPr>
          <w:lang w:val="ru-RU" w:eastAsia="ru-RU" w:bidi="ru-RU"/>
          <w:w w:val="100"/>
          <w:spacing w:val="0"/>
          <w:color w:val="000000"/>
          <w:position w:val="0"/>
        </w:rPr>
        <w:t>а) наименование страны происхождения товара;</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ind w:left="0" w:right="20" w:firstLine="700"/>
      </w:pPr>
      <w:r>
        <w:rPr>
          <w:lang w:val="ru-RU" w:eastAsia="ru-RU" w:bidi="ru-RU"/>
          <w:w w:val="100"/>
          <w:spacing w:val="0"/>
          <w:color w:val="000000"/>
          <w:position w:val="0"/>
        </w:rPr>
        <w:t>В силу положений п.2 ч.1 ст.64 Закона о контрактной системе Заказчиком в п.17.1 Информационной карты аукционной документации установлены в том числе следующие требования к составу первой части заявки на участие в аукционе: «а) наименование страны происхождения товара; 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На заседании Комиссии Управления установлено, что в составе первой части заявки Заявитель выразил исключительно согласие на оказание услуг, при этом не представил конкретные характеристики необходимых при оказании услуг товаров согласно Приложению № 3 к Техническому заданию, что напрямую не соответствует требованиям п.17.1 Информационной карты аукционной документации.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Согласно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ч.3 ст.66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Ч.4 ст. 67 Закона о контрактной системе установлено, что участник электронного аукциона не допускается к участию в нем в случае:</w:t>
      </w:r>
    </w:p>
    <w:p>
      <w:pPr>
        <w:pStyle w:val="Style3"/>
        <w:numPr>
          <w:ilvl w:val="0"/>
          <w:numId w:val="3"/>
        </w:numPr>
        <w:tabs>
          <w:tab w:leader="none" w:pos="8187"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непредставления информации, предусмотренной ч.3</w:t>
        <w:tab/>
        <w:t>ст.66 Закона о контрактной системе, или предоставления недостоверной информации;</w:t>
      </w:r>
    </w:p>
    <w:p>
      <w:pPr>
        <w:pStyle w:val="Style3"/>
        <w:numPr>
          <w:ilvl w:val="0"/>
          <w:numId w:val="3"/>
        </w:numPr>
        <w:tabs>
          <w:tab w:leader="none" w:pos="8187" w:val="left"/>
        </w:tabs>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 несоответствия информации, предусмотренной ч.3</w:t>
        <w:tab/>
        <w:t>ст.66 Закона о контрактной системе, требованиям документации о таком аукционе.</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Одновременно с этим Комиссией Управления установлено, что в Техническом задании аукционной документации установлены требования к товарам. Вместе с тем в рамках рассматриваемой закупки при оказании услуг по организации и проведению мероприятий по молодежной политике на территории поселения Марушкинское Заказчиком установлены требования в частности к таким товарам как радиоприемник </w:t>
      </w:r>
      <w:r>
        <w:rPr>
          <w:lang w:val="en-US" w:eastAsia="en-US" w:bidi="en-US"/>
          <w:w w:val="100"/>
          <w:spacing w:val="0"/>
          <w:color w:val="000000"/>
          <w:position w:val="0"/>
        </w:rPr>
        <w:t xml:space="preserve">Max MR-450 </w:t>
      </w:r>
      <w:r>
        <w:rPr>
          <w:lang w:val="ru-RU" w:eastAsia="ru-RU" w:bidi="ru-RU"/>
          <w:w w:val="100"/>
          <w:spacing w:val="0"/>
          <w:color w:val="000000"/>
          <w:position w:val="0"/>
        </w:rPr>
        <w:t xml:space="preserve">или эквивалент, умный браслет </w:t>
      </w:r>
      <w:r>
        <w:rPr>
          <w:lang w:val="en-US" w:eastAsia="en-US" w:bidi="en-US"/>
          <w:w w:val="100"/>
          <w:spacing w:val="0"/>
          <w:color w:val="000000"/>
          <w:position w:val="0"/>
        </w:rPr>
        <w:t xml:space="preserve">ZDK S2 </w:t>
      </w:r>
      <w:r>
        <w:rPr>
          <w:lang w:val="ru-RU" w:eastAsia="ru-RU" w:bidi="ru-RU"/>
          <w:w w:val="100"/>
          <w:spacing w:val="0"/>
          <w:color w:val="000000"/>
          <w:position w:val="0"/>
        </w:rPr>
        <w:t xml:space="preserve">или эквивалент, наушники </w:t>
      </w:r>
      <w:r>
        <w:rPr>
          <w:lang w:val="en-US" w:eastAsia="en-US" w:bidi="en-US"/>
          <w:w w:val="100"/>
          <w:spacing w:val="0"/>
          <w:color w:val="000000"/>
          <w:position w:val="0"/>
        </w:rPr>
        <w:t xml:space="preserve">Xiaomi Redmi AirDots S Black TWSEJ05LS </w:t>
      </w:r>
      <w:r>
        <w:rPr>
          <w:lang w:val="ru-RU" w:eastAsia="ru-RU" w:bidi="ru-RU"/>
          <w:w w:val="100"/>
          <w:spacing w:val="0"/>
          <w:color w:val="000000"/>
          <w:position w:val="0"/>
        </w:rPr>
        <w:t xml:space="preserve">/ </w:t>
      </w:r>
      <w:r>
        <w:rPr>
          <w:lang w:val="en-US" w:eastAsia="en-US" w:bidi="en-US"/>
          <w:w w:val="100"/>
          <w:spacing w:val="0"/>
          <w:color w:val="000000"/>
          <w:position w:val="0"/>
        </w:rPr>
        <w:t xml:space="preserve">ZBW4499CN </w:t>
      </w:r>
      <w:r>
        <w:rPr>
          <w:lang w:val="ru-RU" w:eastAsia="ru-RU" w:bidi="ru-RU"/>
          <w:w w:val="100"/>
          <w:spacing w:val="0"/>
          <w:color w:val="000000"/>
          <w:position w:val="0"/>
        </w:rPr>
        <w:t xml:space="preserve">/ </w:t>
      </w:r>
      <w:r>
        <w:rPr>
          <w:lang w:val="en-US" w:eastAsia="en-US" w:bidi="en-US"/>
          <w:w w:val="100"/>
          <w:spacing w:val="0"/>
          <w:color w:val="000000"/>
          <w:position w:val="0"/>
        </w:rPr>
        <w:t xml:space="preserve">ZBW4502GL </w:t>
      </w:r>
      <w:r>
        <w:rPr>
          <w:lang w:val="ru-RU" w:eastAsia="ru-RU" w:bidi="ru-RU"/>
          <w:w w:val="100"/>
          <w:spacing w:val="0"/>
          <w:color w:val="000000"/>
          <w:position w:val="0"/>
        </w:rPr>
        <w:t>или эквивалент и т.д.</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Управления отмечает, что предметом закупки является оказание услуг по организации и проведению мероприятий по молодежной политике на территории поселения Марушкинское, вместе с тем аукционной документацией не предусмотрен порядок приемки-передачи товаров на баланс Заказчика, а также согласно п.17.1 аукционной документации товары квалифицируются Заказчиком как используемые при оказании услуг.</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 xml:space="preserve">Вместе с тем, исходя из буквального толкования ч.3 ст.66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или оказании услуг или выполнении работ, что так же однозначно следует из следующего положения: «при осуществлении закупки товара, в том числе </w:t>
      </w:r>
      <w:r>
        <w:rPr>
          <w:rStyle w:val="CharStyle10"/>
        </w:rPr>
        <w:t>поставляемого</w:t>
      </w:r>
      <w:r>
        <w:rPr>
          <w:lang w:val="ru-RU" w:eastAsia="ru-RU" w:bidi="ru-RU"/>
          <w:w w:val="100"/>
          <w:spacing w:val="0"/>
          <w:color w:val="000000"/>
          <w:position w:val="0"/>
        </w:rPr>
        <w:t xml:space="preserve">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оказании услуг» (в ред. Закона о контрактной системе от 27.12.2019 № 449-ФЗ) и «используемого при оказании услуг» (п.3 ч.3 ст.66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pPr>
        <w:pStyle w:val="Style3"/>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Таким образом, учитывая, что Техническим заданием документации об аукционе установлены требования к используемым товарам при оказании услуг, Заказчиком неправомерно установлены требования о предоставлении конкретных показателей и наименования страны происхождения товаров в составе заявки на участие в аукционе, поскольку в соответствии с положениями ч.3 ст.66 Закона о контрактной системе заявка на участие в аукционе в описанном случае должна содержать исключительно согласие участника закупки на оказание услуг в соответствии с техническим заданием, в том числе, в отношении товаров (материалов), используемых при оказании услуг.</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Вместе с тем согласно протоколу рассмотрения заявок на участие в электронном аукционе от 27.01.2021 №0148300001521000001-1, участниками закупки подано 7 заявок, при этом 6 заявок отклонены на основании непредставления конкретных показателей товаров или предоставления не соответствующих показателей, что очевидно свидетельствует о том, что выявленные нарушения повлияли на результаты определения поставщика (подрядчика, исполнителя).</w:t>
      </w:r>
    </w:p>
    <w:p>
      <w:pPr>
        <w:pStyle w:val="Style3"/>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Таким образом, Комиссия Управления приходит к выводу о нарушении Заказчиком п.2 ч.1 ст.64, ч.6 ст.66 Закона о контрактной системе при формировании требований к составу первой части заявки.</w:t>
      </w:r>
    </w:p>
    <w:p>
      <w:pPr>
        <w:pStyle w:val="Style3"/>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r>
        <w:br w:type="page"/>
      </w:r>
    </w:p>
    <w:p>
      <w:pPr>
        <w:pStyle w:val="Style6"/>
        <w:widowControl w:val="0"/>
        <w:keepNext w:val="0"/>
        <w:keepLines w:val="0"/>
        <w:shd w:val="clear" w:color="auto" w:fill="auto"/>
        <w:bidi w:val="0"/>
        <w:jc w:val="left"/>
        <w:spacing w:before="0" w:after="303" w:line="260" w:lineRule="exact"/>
        <w:ind w:left="4600" w:right="0" w:firstLine="0"/>
      </w:pPr>
      <w:r>
        <w:rPr>
          <w:lang w:val="ru-RU" w:eastAsia="ru-RU" w:bidi="ru-RU"/>
          <w:w w:val="100"/>
          <w:spacing w:val="0"/>
          <w:color w:val="000000"/>
          <w:position w:val="0"/>
        </w:rPr>
        <w:t>Р Е Ш И Л А:</w:t>
      </w:r>
    </w:p>
    <w:p>
      <w:pPr>
        <w:pStyle w:val="Style3"/>
        <w:numPr>
          <w:ilvl w:val="0"/>
          <w:numId w:val="5"/>
        </w:numPr>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 xml:space="preserve"> Признать жалобу ИП Крыцкий П.Г. на действия аукционной комиссии Администрации поселения Марушкинское необоснованной.</w:t>
      </w:r>
    </w:p>
    <w:p>
      <w:pPr>
        <w:pStyle w:val="Style3"/>
        <w:numPr>
          <w:ilvl w:val="0"/>
          <w:numId w:val="5"/>
        </w:numPr>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 xml:space="preserve"> Признать в действиях Заказчика нарушения п.2 ч.1 ст.64, ч.6 ст.66 Закона о контрактной системе.</w:t>
      </w:r>
    </w:p>
    <w:p>
      <w:pPr>
        <w:pStyle w:val="Style3"/>
        <w:numPr>
          <w:ilvl w:val="0"/>
          <w:numId w:val="5"/>
        </w:numPr>
        <w:widowControl w:val="0"/>
        <w:keepNext w:val="0"/>
        <w:keepLines w:val="0"/>
        <w:shd w:val="clear" w:color="auto" w:fill="auto"/>
        <w:bidi w:val="0"/>
        <w:jc w:val="left"/>
        <w:spacing w:before="0" w:after="300"/>
        <w:ind w:left="0" w:right="20" w:firstLine="72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3"/>
        <w:widowControl w:val="0"/>
        <w:keepNext w:val="0"/>
        <w:keepLines w:val="0"/>
        <w:shd w:val="clear" w:color="auto" w:fill="auto"/>
        <w:bidi w:val="0"/>
        <w:jc w:val="left"/>
        <w:spacing w:before="0" w:after="0"/>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w:t>
      </w:r>
    </w:p>
    <w:p>
      <w:pPr>
        <w:pStyle w:val="Style3"/>
        <w:widowControl w:val="0"/>
        <w:keepNext w:val="0"/>
        <w:keepLines w:val="0"/>
        <w:shd w:val="clear" w:color="auto" w:fill="auto"/>
        <w:bidi w:val="0"/>
        <w:jc w:val="left"/>
        <w:spacing w:before="0" w:after="352" w:line="260" w:lineRule="exact"/>
        <w:ind w:left="180" w:right="0"/>
      </w:pPr>
      <w:r>
        <w:rPr>
          <w:lang w:val="ru-RU" w:eastAsia="ru-RU" w:bidi="ru-RU"/>
          <w:w w:val="100"/>
          <w:spacing w:val="0"/>
          <w:color w:val="000000"/>
          <w:position w:val="0"/>
        </w:rPr>
        <w:t>24 АПК РФ.</w:t>
      </w:r>
    </w:p>
    <w:p>
      <w:pPr>
        <w:pStyle w:val="Style3"/>
        <w:framePr w:h="250" w:vSpace="715" w:wrap="around" w:vAnchor="text" w:hAnchor="margin" w:x="8380" w:y="1"/>
        <w:widowControl w:val="0"/>
        <w:keepNext w:val="0"/>
        <w:keepLines w:val="0"/>
        <w:shd w:val="clear" w:color="auto" w:fill="auto"/>
        <w:bidi w:val="0"/>
        <w:jc w:val="left"/>
        <w:spacing w:before="0" w:after="0" w:line="240" w:lineRule="exact"/>
        <w:ind w:left="100" w:right="0" w:firstLine="0"/>
      </w:pPr>
      <w:r>
        <w:rPr>
          <w:rStyle w:val="CharStyle4"/>
          <w:spacing w:val="0"/>
        </w:rPr>
        <w:t>Д.С. Грешнева</w:t>
      </w:r>
    </w:p>
    <w:p>
      <w:pPr>
        <w:pStyle w:val="Style3"/>
        <w:framePr w:h="245" w:wrap="around" w:vAnchor="text" w:hAnchor="margin" w:x="8409" w:y="644"/>
        <w:widowControl w:val="0"/>
        <w:keepNext w:val="0"/>
        <w:keepLines w:val="0"/>
        <w:shd w:val="clear" w:color="auto" w:fill="auto"/>
        <w:bidi w:val="0"/>
        <w:jc w:val="left"/>
        <w:spacing w:before="0" w:after="0" w:line="240" w:lineRule="exact"/>
        <w:ind w:left="100" w:right="0" w:firstLine="0"/>
      </w:pPr>
      <w:r>
        <w:rPr>
          <w:rStyle w:val="CharStyle4"/>
          <w:spacing w:val="0"/>
        </w:rPr>
        <w:t>А.З. Касимова</w:t>
      </w:r>
    </w:p>
    <w:p>
      <w:pPr>
        <w:pStyle w:val="Style3"/>
        <w:widowControl w:val="0"/>
        <w:keepNext w:val="0"/>
        <w:keepLines w:val="0"/>
        <w:shd w:val="clear" w:color="auto" w:fill="auto"/>
        <w:bidi w:val="0"/>
        <w:jc w:val="left"/>
        <w:spacing w:before="0" w:after="347" w:line="260" w:lineRule="exact"/>
        <w:ind w:left="180" w:right="0"/>
      </w:pPr>
      <w:r>
        <w:rPr>
          <w:lang w:val="ru-RU" w:eastAsia="ru-RU" w:bidi="ru-RU"/>
          <w:w w:val="100"/>
          <w:spacing w:val="0"/>
          <w:color w:val="000000"/>
          <w:position w:val="0"/>
        </w:rPr>
        <w:t>Заместитель председателя Комиссии</w:t>
      </w:r>
    </w:p>
    <w:p>
      <w:pPr>
        <w:pStyle w:val="Style3"/>
        <w:framePr w:h="240" w:wrap="notBeside" w:vAnchor="text" w:hAnchor="margin" w:x="8750" w:y="639"/>
        <w:widowControl w:val="0"/>
        <w:keepNext w:val="0"/>
        <w:keepLines w:val="0"/>
        <w:shd w:val="clear" w:color="auto" w:fill="auto"/>
        <w:bidi w:val="0"/>
        <w:jc w:val="left"/>
        <w:spacing w:before="0" w:after="0" w:line="240" w:lineRule="exact"/>
        <w:ind w:left="100" w:right="0" w:firstLine="0"/>
      </w:pPr>
      <w:r>
        <w:rPr>
          <w:rStyle w:val="CharStyle4"/>
          <w:spacing w:val="0"/>
        </w:rPr>
        <w:t>Н.А. Узкий</w:t>
      </w:r>
    </w:p>
    <w:p>
      <w:pPr>
        <w:pStyle w:val="Style3"/>
        <w:widowControl w:val="0"/>
        <w:keepNext w:val="0"/>
        <w:keepLines w:val="0"/>
        <w:shd w:val="clear" w:color="auto" w:fill="auto"/>
        <w:bidi w:val="0"/>
        <w:jc w:val="left"/>
        <w:spacing w:before="0" w:after="6132" w:line="260" w:lineRule="exact"/>
        <w:ind w:left="180" w:right="0"/>
      </w:pPr>
      <w:r>
        <w:rPr>
          <w:lang w:val="ru-RU" w:eastAsia="ru-RU" w:bidi="ru-RU"/>
          <w:w w:val="100"/>
          <w:spacing w:val="0"/>
          <w:color w:val="000000"/>
          <w:position w:val="0"/>
        </w:rPr>
        <w:t>Члены Комиссии</w:t>
      </w:r>
    </w:p>
    <w:p>
      <w:pPr>
        <w:pStyle w:val="Style13"/>
        <w:widowControl w:val="0"/>
        <w:keepNext w:val="0"/>
        <w:keepLines w:val="0"/>
        <w:shd w:val="clear" w:color="auto" w:fill="auto"/>
        <w:bidi w:val="0"/>
        <w:jc w:val="left"/>
        <w:spacing w:before="0" w:after="0"/>
        <w:ind w:left="180" w:right="3980"/>
      </w:pPr>
      <w:r>
        <w:rPr>
          <w:lang w:val="ru-RU" w:eastAsia="ru-RU" w:bidi="ru-RU"/>
          <w:w w:val="100"/>
          <w:spacing w:val="0"/>
          <w:color w:val="000000"/>
          <w:position w:val="0"/>
        </w:rPr>
        <w:t xml:space="preserve">Исп. Касимова А.З. 8 (495) 784-75-05 доб. (077-186) </w:t>
      </w:r>
      <w:r>
        <w:rPr>
          <w:rStyle w:val="CharStyle15"/>
        </w:rPr>
        <w:t>2021-7259</w:t>
      </w:r>
    </w:p>
    <w:sectPr>
      <w:footnotePr>
        <w:pos w:val="pageBottom"/>
        <w:numFmt w:val="decimal"/>
        <w:numRestart w:val="continuous"/>
      </w:footnotePr>
      <w:type w:val="continuous"/>
      <w:pgSz w:w="11906" w:h="16838"/>
      <w:pgMar w:top="1319" w:left="852" w:right="840" w:bottom="126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9">
    <w:name w:val="Штрих-код (2)_"/>
    <w:basedOn w:val="DefaultParagraphFont"/>
    <w:link w:val="Style8"/>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Основной текст"/>
    <w:basedOn w:val="CharStyle5"/>
    <w:rPr>
      <w:lang w:val="ru-RU" w:eastAsia="ru-RU" w:bidi="ru-RU"/>
      <w:u w:val="single"/>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3)_"/>
    <w:basedOn w:val="DefaultParagraphFont"/>
    <w:link w:val="Style13"/>
    <w:rPr>
      <w:b w:val="0"/>
      <w:bCs w:val="0"/>
      <w:i w:val="0"/>
      <w:iCs w:val="0"/>
      <w:u w:val="none"/>
      <w:strike w:val="0"/>
      <w:smallCaps w:val="0"/>
      <w:sz w:val="17"/>
      <w:szCs w:val="17"/>
      <w:rFonts w:ascii="Times New Roman" w:eastAsia="Times New Roman" w:hAnsi="Times New Roman" w:cs="Times New Roman"/>
    </w:rPr>
  </w:style>
  <w:style w:type="character" w:customStyle="1" w:styleId="CharStyle15">
    <w:name w:val="Основной текст (3) + 11 pt"/>
    <w:basedOn w:val="CharStyle14"/>
    <w:rPr>
      <w:lang w:val="ru-RU" w:eastAsia="ru-RU" w:bidi="ru-RU"/>
      <w:sz w:val="22"/>
      <w:szCs w:val="22"/>
      <w:w w:val="100"/>
      <w:spacing w:val="0"/>
      <w:color w:val="000000"/>
      <w:position w:val="0"/>
    </w:rPr>
  </w:style>
  <w:style w:type="paragraph" w:customStyle="1" w:styleId="Style3">
    <w:name w:val="Основной текст"/>
    <w:basedOn w:val="Normal"/>
    <w:link w:val="CharStyle5"/>
    <w:pPr>
      <w:widowControl w:val="0"/>
      <w:shd w:val="clear" w:color="auto" w:fill="FFFFFF"/>
      <w:spacing w:after="240" w:line="322" w:lineRule="exact"/>
      <w:ind w:hanging="180"/>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840" w:line="317" w:lineRule="exact"/>
    </w:pPr>
    <w:rPr>
      <w:b/>
      <w:bCs/>
      <w:i w:val="0"/>
      <w:iCs w:val="0"/>
      <w:u w:val="none"/>
      <w:strike w:val="0"/>
      <w:smallCaps w:val="0"/>
      <w:sz w:val="26"/>
      <w:szCs w:val="26"/>
      <w:rFonts w:ascii="Times New Roman" w:eastAsia="Times New Roman" w:hAnsi="Times New Roman" w:cs="Times New Roman"/>
    </w:rPr>
  </w:style>
  <w:style w:type="paragraph" w:customStyle="1" w:styleId="Style8">
    <w:name w:val="Штрих-код (2)"/>
    <w:basedOn w:val="Normal"/>
    <w:link w:val="CharStyle9"/>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080" w:line="1277" w:lineRule="exact"/>
      <w:ind w:hanging="180"/>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