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303" w:line="260" w:lineRule="exact"/>
        <w:ind w:left="53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ГУП «Московский метрополитен»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300" w:line="322" w:lineRule="exact"/>
        <w:ind w:left="5320" w:right="5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пр-кт Мира, д. 41, стр. 2, г. Москва, 129110, </w:t>
      </w:r>
      <w:r>
        <w:fldChar w:fldCharType="begin"/>
      </w:r>
      <w:r>
        <w:rPr>
          <w:color w:val="000000"/>
        </w:rPr>
        <w:instrText> HYPERLINK "mailto:torgi@mosmetro.ru"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torgi@mosmetro.ru</w:t>
      </w:r>
      <w:r>
        <w:fldChar w:fldCharType="end"/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304" w:line="322" w:lineRule="exact"/>
        <w:ind w:left="5320" w:right="5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Департамент г. Москвы по Конкурентной политике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346" w:line="317" w:lineRule="exact"/>
        <w:ind w:left="5320" w:right="5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Макаренко, д. 4, стр. 1, г. Москва, 105062, </w:t>
      </w:r>
      <w:r>
        <w:fldChar w:fldCharType="begin"/>
      </w:r>
      <w:r>
        <w:rPr>
          <w:color w:val="000000"/>
        </w:rPr>
        <w:instrText> HYPERLINK "mailto:mostender@mos.ru"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mostender@mos.ru</w:t>
      </w:r>
      <w:r>
        <w:fldChar w:fldCharType="end"/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317" w:line="260" w:lineRule="exact"/>
        <w:ind w:left="53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«БИС»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346" w:line="317" w:lineRule="exact"/>
        <w:ind w:left="5320" w:right="5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Гагарина, д. 1, оф. 17, г. Калуга, 248000, </w:t>
      </w:r>
      <w:r>
        <w:fldChar w:fldCharType="begin"/>
      </w:r>
      <w:r>
        <w:rPr>
          <w:color w:val="000000"/>
        </w:rPr>
        <w:instrText> HYPERLINK "mailto:biskaluga@mail.ru"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biskaluga@mail.ru</w:t>
      </w:r>
      <w:r>
        <w:fldChar w:fldCharType="end"/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303" w:line="260" w:lineRule="exact"/>
        <w:ind w:left="53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АО «КРОСС ТЕХНОЛОДЖИС»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1440" w:line="322" w:lineRule="exact"/>
        <w:ind w:left="5320" w:right="5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Ленинградский пр-кт, д. 31А, стр. 1, ЭТ/П/К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24/I/16,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г. Москва, 125284, </w:t>
      </w:r>
      <w:r>
        <w:fldChar w:fldCharType="begin"/>
      </w:r>
      <w:r>
        <w:rPr>
          <w:color w:val="000000"/>
        </w:rPr>
        <w:instrText> HYPERLINK "mailto:nvn@crosstech.su"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nvn@crosstech.su</w:t>
      </w:r>
      <w:r>
        <w:fldChar w:fldCharType="end"/>
      </w:r>
    </w:p>
    <w:p>
      <w:pPr>
        <w:pStyle w:val="Style7"/>
        <w:tabs>
          <w:tab w:leader="none" w:pos="10100" w:val="righ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по делу № 077/06/106-1661/2021 о нарушении законодательства о контрактной системе 03.02.2021</w:t>
        <w:tab/>
        <w:t>г.Москва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Управления Федеральной антимонопольной службы по г. Москве по контролю в сфере закупок товаров, работ, услуг (далее - Комиссия Управления) в составе: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Заместителя председателя Комиссии — главного государственного инспектора отдела обжалования государственных закупок С.И. Казарина,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Членов Комиссии: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Ведущего специалиста-эксперта отдела обжалования государственных закупок А.А. Кутейникова,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Специалиста 1-го разряда отдела обжалования государственных закупок Е.О. Сгибнева,</w:t>
      </w:r>
    </w:p>
    <w:p>
      <w:pPr>
        <w:pStyle w:val="Style3"/>
        <w:framePr w:w="1349" w:h="427" w:wrap="around" w:vAnchor="text" w:hAnchor="margin" w:x="351" w:y="1062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  <w:r>
        <w:rPr>
          <w:w w:val="100"/>
          <w:spacing w:val="0"/>
          <w:color w:val="000000"/>
          <w:position w:val="0"/>
        </w:rPr>
        <w:t>002009356725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356" w:line="322" w:lineRule="exact"/>
        <w:ind w:left="20" w:right="20" w:firstLine="56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671" w:left="843" w:right="853" w:bottom="1170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рассмотрение жалобы проводилось дистанционно (посредством видеоконференцсвязи) в целях исполнения Указа Мэра Москвы от 25.09.2020 № 92-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УМ «О внесении изменений в правовые акты города Москвы» и предупреждения распространения в городе Москве инфекции, вызванной коронавирусом </w:t>
      </w:r>
      <w:r>
        <w:rPr>
          <w:lang w:val="en-US" w:eastAsia="en-US" w:bidi="en-US"/>
          <w:w w:val="100"/>
          <w:spacing w:val="0"/>
          <w:color w:val="000000"/>
          <w:position w:val="0"/>
        </w:rPr>
        <w:t>2019-nCoV.,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представители ГУП «Московский метрополитен», Департамента г. Москвы по Конкурентной политике, ООО «БИС» участвовали посредством конференцсвязи,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отсутствие представителей АО «КРОСС ТЕХНОЛОДЖИС», о времени и порядке заседания Комиссии Управления уведомлены надлежащим образом письмом Московского УФАС России от 03.02.2021 № ЕИ/5220/21,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рассмотрев жалобу ООО «БИС» (далее — Заявитель) на действия ГУП «Московский метрополитен» (далее-Заказчик) при проведении электронного аукциона на право заключения государственного контракта на выполнение работ по оснащению системы видеоидентификации московского метрополитена (СВ ММ) программно-аппаратной компонентой управления состоянием защищенности информационных ресурсов (Закупка № 0173200001420001903) (далее - электронный аукцион, аукцион)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Административным регламентом, утвержденным Приказом ФАС России от</w:t>
      </w:r>
    </w:p>
    <w:p>
      <w:pPr>
        <w:pStyle w:val="Style5"/>
        <w:numPr>
          <w:ilvl w:val="0"/>
          <w:numId w:val="1"/>
        </w:numPr>
        <w:tabs>
          <w:tab w:leader="none" w:pos="1379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349" w:line="322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№727/14 (далее- Административный регламент),</w:t>
      </w:r>
    </w:p>
    <w:p>
      <w:pPr>
        <w:pStyle w:val="Style9"/>
        <w:widowControl w:val="0"/>
        <w:keepNext/>
        <w:keepLines/>
        <w:shd w:val="clear" w:color="auto" w:fill="auto"/>
        <w:bidi w:val="0"/>
        <w:jc w:val="left"/>
        <w:spacing w:before="0" w:after="308" w:line="260" w:lineRule="exact"/>
        <w:ind w:left="4320" w:right="0" w:firstLine="0"/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>УСТАНОВИЛА:</w:t>
      </w:r>
      <w:bookmarkEnd w:id="0"/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Московское УФАС России поступила жалоба Заявителя на действия Заказчика при проведении вышеуказанного электронного аукциона.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заседании Комиссии Управления Заказчиком представлены документы и сведения, запрашиваемые письмом Московского УФАС России от 03.02.2021 № ЕИ/5220/21.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результате рассмотрения жалобы Комиссия Управления установила следующее.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Заявитель обжалует действия аукционной комиссии Заказчика, выразившиеся в признании заявки иного участника аукциона соответствующей требованиям аукционной документации по результатам подведения итогов электронного аукциона.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протоколу подведения итогов электронного аукциона от 18.01.2021 №0173200001420001903-3 заявки ООО «БИС» и АО «КРОСС ТЕХНОЛОДЖИС» признаны соответствующими требованиям, установленным аукционной документацией.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Вместе с тем в своей жалобе Заявитель указывает, что у АО «КРОСС ТЕХНОЛОДЖИС» в представленных лицензиях ФСТЭК России отсутствует указание на реализацию и сервисное обслуживание средств защиты (обработки) информации.</w:t>
      </w:r>
    </w:p>
    <w:p>
      <w:pPr>
        <w:pStyle w:val="Style5"/>
        <w:tabs>
          <w:tab w:leader="none" w:pos="3308" w:val="left"/>
          <w:tab w:leader="none" w:pos="3927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п.1</w:t>
        <w:tab/>
        <w:t>ч.1</w:t>
        <w:tab/>
        <w:t>ст.31 Закона о контрактной системе при осуществлении закупки заказчик устанавливает следующие единые требования к участникам закупки: соответствие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являющихся объектом закупки.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п. 2 ч. 5 ст. 66 Закона о контрактной системе вторая часть заявки на участие в электронном аукционе должна содержать следующие документы и информацию: документы, подтверждающие соответствие участника такого аукциона требованиям, установленным пунктом 1 части 1 статьи 31 Закона о контрактной системе, или копии этих документов, а также декларация о соответствии участника такого аукциона требованиям, установленным пунктами 3 - 9 части 1 статьи 31 Закона о контрактной системе (указанная декларация предоставляется с использованием программно-аппаратных средств электронной площадки).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заседании Комиссии Управления установлено, что в п. 16.1 и п. 18.2 Информационной карты установлено единое требования к участникам закупки об обладании ими действующей лицензии ФСТЭК России на проведение работ, связанных с созданием средств защиты информации (реализация, установка, монтаж, наладка, испытания, сервисное обслуживание) в части: -технических средств защиты информации; -защищенных технических средств обработки информации; - программных (программно-технических) средств защиты информации. - в соответствии с Федеральным законом от 04.05.2011 № 99-ФЗ «О лицензировании отдельных видов деятельности, а также требование о том, что вторая часть заявки на участие в электронном аукционе должна содержать копию вышеуказанной лицензии.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заседании Комиссии Управления установлено, что в заявке АО «КРОСС ТЕХНОЛОДЖИС» представлены лицензия на деятельность по технической защите конфиденциальной информации от 18.07.2014 №2334 и лицензия на деятельность по разработке и производству средств защиты конфиденциальной информации от</w:t>
      </w:r>
    </w:p>
    <w:p>
      <w:pPr>
        <w:pStyle w:val="Style5"/>
        <w:numPr>
          <w:ilvl w:val="0"/>
          <w:numId w:val="3"/>
        </w:numPr>
        <w:tabs>
          <w:tab w:leader="none" w:pos="1430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№1264, в которых отсутствует указание на такие виды услуг как реализация и сервисное обслуживание средств защиты (обработки) информации.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ч.2 ст. 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 и участвовать в ее рассмотрении лично или через своих представителей.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заседании Комиссии Управления представители Заказчика пояснили, что несмотря на формальное несоответствие наименования требуемых услуг в части реализации и сервисного обслуживания средств защиты (обработки) информации, требование к лицензии установлено в соответствии с постановлением Правительства Российской Федерации от 03.02.2012 № 79 «О лицензировании деятельности по технической защите конфиденциальной информации» (далее — постановление №79).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силу ч.9 ст.105 Закона о контрактной системе к жалобе прикладываются документы, подтверждающие ее обоснованность. При этом жалоба должна содержать перечень прилагаемых к ней документов.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заседании Комиссии Управления представители Заявителя пояснили в постановлении №79, а также в постановлении Правительства Российской Федерации от 03.03.2012 № 171 «О лицензировании деятельности по разработке и производству средств защиты конфиденциальной информации» (далее — постановление №171) отсутствует указание на такой вид услуг как реализация и сервисное обслуживание средств защиты, в связи с чем заявка АО «КРОСС ТЕХНОЛОДЖИС» не соответствует требованиям аукционной документации.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ч.1 ст.69 Закона о контрактной системе аукционная комиссия рассматривает вторые части заявок на участие в электронном аукционе и документы, направленные заказчику оператором электронной площадки в соответствии с ч.19 ст.68 Закона о контрактной системе, в части соответствия их требованиям, установленным документацией о таком аукционе.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ч.6 ст.69 Закона о контрактной системе заявка на участие в электронном аукционе признается не соответствующей требованиям, установленным документацией о таком аукционе, в случае:</w:t>
      </w:r>
    </w:p>
    <w:p>
      <w:pPr>
        <w:pStyle w:val="Style5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непредставления документов и информации, которые предусмотрены ч. 11 ст. 24.1, ч. 3 или 3.1, 5, 8.2 ст. 66 Закона о контрактной системе,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аукционе;</w:t>
      </w:r>
    </w:p>
    <w:p>
      <w:pPr>
        <w:pStyle w:val="Style5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несоответствия участника такого аукциона требованиям, установленным в соответствии с ч.1, ч. 1.1, 2 и 2.1 (при наличии таких требований) ст. 31 Закона о контрактной системе.</w:t>
      </w:r>
    </w:p>
    <w:p>
      <w:pPr>
        <w:pStyle w:val="Style5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предусмотренном нормативными правовыми актами, принятыми в соответствии со ст. 14 Закона о контрактной системе.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ч.7 ст.69 Закона о контрактной системе принятие решения о несоответствии заявки на участие в электронном аукционе требованиям, установленным документацией о таком аукционе, по основаниям, не предусмотренным ч. 6 ст.69 Закона о контрактной системе, не допускается.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Комиссия Управления приходит к выводу, что решение аукционной комиссии Заказчика в части признания заявки АО «КРОСС ТЕХНОЛОДЖИС» соответствующей требованиям аукционной документации, является неправомерным, и принято в нарушении ч.6 ст.69 Закона о контрактной системе.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Вместе с тем в ходе проведения внеплановой проверки Комиссия Управления установила следующее.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п.2 ч.1 ст.64 Закона о контрактной системе документация об электронном аукционе наряду с информацией, указанной в извещении о проведении такого аукциона, должна содержать требования к содержанию, составу заявки на участие в таком аукционе в соответствии с ч.3-6 ст.66 Закона о контрактной системе и инструкцию по ее заполнению. 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ч.3 ст.64 Закона о контрактной системе документация об электронном аукционе наряду с предусмотренной ч.1 ст.64 Закона о контрактной системе информацией должна содержать требования к участникам такого аукциона, установленные в соответствии с ч.1, ч.1.1, 2 и 2.1 (при наличии таких требований) ст.31 Закона о контрактной системе.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п. 3 постановления №171 при осуществлении деятельности по разработке и производству средств защиты конфиденциальной информации лицензированию подлежат следующие виды работ и услуг: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322" w:lineRule="exact"/>
        <w:ind w:left="580" w:right="76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а) разработка средств защиты конфиденциальной информации, в том числе: технических средств защиты информации;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322" w:lineRule="exact"/>
        <w:ind w:left="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защищенных технических средств обработки информации; технических средств контроля эффективности мер защиты информации; программных (программно-технических) средств защиты информации; защищенных программных (программно-технических) средств обработки информации;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программных (программно-технических) средств контроля защищенности информации;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322" w:lineRule="exact"/>
        <w:ind w:left="580" w:right="4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б) производство средств защиты конфиденциальной информации, в том числе: технических средств защиты информации;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322" w:lineRule="exact"/>
        <w:ind w:left="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защищенных технических средств обработки информации; технических средств контроля эффективности мер защиты информации; программных (программно-технических) средств защиты информации; защищенных программных (программно-технических) средств обработки информации;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программных (программно-технических) средств контроля защищенности информации.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силу п. 4 постановления №79 при осуществлении лицензируемого вида деятельности лицензированию подлежат:</w:t>
      </w:r>
    </w:p>
    <w:p>
      <w:pPr>
        <w:pStyle w:val="Style5"/>
        <w:tabs>
          <w:tab w:leader="none" w:pos="903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а)</w:t>
        <w:tab/>
        <w:t>услуги по контролю защищенности конфиденциальной информации от утечки по техническим каналам: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средствах и системах информатизации;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322" w:lineRule="exact"/>
        <w:ind w:left="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технических средствах (системах), не обрабатывающих конфиденциальную информацию, но размещенных в помещениях, где она обрабатывается; в помещениях со средствами (системами), подлежащими защите; в помещениях, предназначенных для ведения конфиденциальных переговоров (далее - защищаемые помещения);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б) услуги по контролю защищенности конфиденциальной информации от несанкционированного доступа и ее модификации в средствах и системах информатизации;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в) услуги по мониторингу информационной безопасности средств и систем информатизации;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г) работы и услуги по аттестационным испытаниям и аттестации на соответствие требованиям по защите информации: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средств и систем информатизации;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помещений со средствами (системами) информатизации, подлежащими защите;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защищаемых помещений;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д) работы и услуги по проектированию в защищенном исполнении: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средств и систем информатизации;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помещений со средствами (системами) информатизации, подлежащими защите;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защищаемых помещений;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е) услуги по установке, монтажу, наладке, испытаниям, ремонту средств защиты информации (технических средств защиты информации, защищенных технических средств обработки информации, технических средств контроля эффективности мер защиты информации, программных (программно-технических) средств защиты информации, защищенных программных (программно-технических) средств обработки информации, программных (программно-технических) средств контроля эффективности защиты информации).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Исходя из положений Технического задания при выполнении работ исполнителем по контракту осуществляется разработка средств защиты конфиденциальной информации, а также монтаж данных средств.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Данные услуги подпадают под действие двух разных лицензий. Вместе с тем требование аукционной документации к участнику закупки сформировано таким образом, что не позволяет точно определить, какие лицензии требуются Заказчику. Так из установленного требования следует, что Заказчиком в понятие услуги по разработке средств защиты конфиденциальной информации вкладывается также деятельность по их реализации, установки монтажу, наладки, испытания, сервисного обслуживания, что противоречит положениям постановления №79 и постановления №171. Кроме того, постановление №79 не содержит указание на такие виды услуг как реализация и сервисное обслуживание.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вышеизложенного Комиссия Управления приходит к выводу, что аукционная документации установлена в нарушение п.2 ч.1 ст.64, ч.3 ст.64 Закона о контрактной системе.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Вместе с тем Комиссия Управления отмечает, что заявки ООО «БИС» и АО «КРОСС ТЕХНОЛОДЖИС» содержат лицензии, выданные в соответствии с постановлением №79 и постановлением №171, и аукционной комиссией Заказчика не принималось решения о несоответствии данных заявок положениям аукционной документации, в связи с чем выявленные нарушения не повлияли на результаты определения поставщика (подрядчика, исполнителя).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349" w:line="322" w:lineRule="exact"/>
        <w:ind w:left="0" w:right="4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Исследовав представленные материалы, руководствуясь Административным регламентом, утвержденным приказом ФАС России от 19.11.2014 №727/14, Законом о контрактной системе, Комиссия Управления</w:t>
      </w:r>
    </w:p>
    <w:p>
      <w:pPr>
        <w:pStyle w:val="Style9"/>
        <w:widowControl w:val="0"/>
        <w:keepNext/>
        <w:keepLines/>
        <w:shd w:val="clear" w:color="auto" w:fill="auto"/>
        <w:bidi w:val="0"/>
        <w:jc w:val="center"/>
        <w:spacing w:before="0" w:after="303" w:line="260" w:lineRule="exact"/>
        <w:ind w:left="20" w:right="0" w:firstLine="0"/>
      </w:pPr>
      <w:bookmarkStart w:id="1" w:name="bookmark1"/>
      <w:r>
        <w:rPr>
          <w:lang w:val="ru-RU" w:eastAsia="ru-RU" w:bidi="ru-RU"/>
          <w:w w:val="100"/>
          <w:spacing w:val="0"/>
          <w:color w:val="000000"/>
          <w:position w:val="0"/>
        </w:rPr>
        <w:t>Р Е Ш И Л А:</w:t>
      </w:r>
      <w:bookmarkEnd w:id="1"/>
    </w:p>
    <w:p>
      <w:pPr>
        <w:pStyle w:val="Style5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Признать жалобу ООО «БИС» на действия аукционной комиссии ГУП «Московский метрополитен» обоснованной.</w:t>
      </w:r>
    </w:p>
    <w:p>
      <w:pPr>
        <w:pStyle w:val="Style5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Признать в действиях аукционной комиссии Заказчика нарушение ч.6 ст.69 Закона о контрактной систем, признать в действиях Заказчика нарушение положений п.2 ч.1 ст.64, ч.3 ст.64 Закона о контрактной системе.</w:t>
      </w:r>
    </w:p>
    <w:p>
      <w:pPr>
        <w:pStyle w:val="Style5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300" w:line="322" w:lineRule="exact"/>
        <w:ind w:left="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Обязательное для исполнения предписание об устранении нарушений законодательства о контрактной системе Заказчику не выдавать, поскольку выявленные нарушения не повлияли на результаты определения поставщика (подрядчика, исполнителя).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43" w:line="322" w:lineRule="exact"/>
        <w:ind w:left="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установленном гл. 24 АПК РФ.</w:t>
      </w:r>
    </w:p>
    <w:p>
      <w:pPr>
        <w:pStyle w:val="Style5"/>
        <w:tabs>
          <w:tab w:leader="none" w:pos="9149" w:val="right"/>
          <w:tab w:leader="none" w:pos="10190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643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Заместитель Председателя Комиссии</w:t>
        <w:tab/>
        <w:t>С.И.</w:t>
        <w:tab/>
        <w:t>Казарин</w:t>
      </w:r>
    </w:p>
    <w:p>
      <w:pPr>
        <w:pStyle w:val="Style5"/>
        <w:tabs>
          <w:tab w:leader="none" w:pos="8664" w:val="right"/>
          <w:tab w:leader="none" w:pos="10190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643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</w:t>
        <w:tab/>
        <w:t>А.А.</w:t>
        <w:tab/>
        <w:t>Кутейников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right"/>
        <w:spacing w:before="0" w:after="2711" w:line="643" w:lineRule="exact"/>
        <w:ind w:left="0" w:right="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Е.О. Сгибнев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spacing w:before="0" w:after="0" w:line="18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Исп. Кутейников А.А. 8(495) 784-75-05 (077-162)</w:t>
      </w:r>
    </w:p>
    <w:sectPr>
      <w:pgSz w:w="11906" w:h="16838"/>
      <w:pgMar w:top="1744" w:left="847" w:right="835" w:bottom="1936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2014"/>
      <w:numFmt w:val="decimal"/>
      <w:lvlText w:val="19.11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2014"/>
      <w:numFmt w:val="decimal"/>
      <w:lvlText w:val="18.07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4">
    <w:multiLevelType w:val="multilevel"/>
    <w:lvl w:ilvl="0">
      <w:start w:val="1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6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Штрих-код (2)_"/>
    <w:basedOn w:val="DefaultParagraphFont"/>
    <w:link w:val="Style3"/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6">
    <w:name w:val="Основной текст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8">
    <w:name w:val="Основной текст (2)_"/>
    <w:basedOn w:val="DefaultParagraphFont"/>
    <w:link w:val="Style7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0">
    <w:name w:val="Заголовок №1_"/>
    <w:basedOn w:val="DefaultParagraphFont"/>
    <w:link w:val="Style9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2">
    <w:name w:val="Основной текст (3)_"/>
    <w:basedOn w:val="DefaultParagraphFont"/>
    <w:link w:val="Style11"/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paragraph" w:customStyle="1" w:styleId="Style3">
    <w:name w:val="Штрих-код (2)"/>
    <w:basedOn w:val="Normal"/>
    <w:link w:val="CharStyle4"/>
    <w:pPr>
      <w:widowControl w:val="0"/>
      <w:shd w:val="clear" w:color="auto" w:fill="FFFFFF"/>
    </w:pPr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5">
    <w:name w:val="Основной текст"/>
    <w:basedOn w:val="Normal"/>
    <w:link w:val="CharStyle6"/>
    <w:pPr>
      <w:widowControl w:val="0"/>
      <w:shd w:val="clear" w:color="auto" w:fill="FFFFFF"/>
      <w:spacing w:after="420" w:line="0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7">
    <w:name w:val="Основной текст (2)"/>
    <w:basedOn w:val="Normal"/>
    <w:link w:val="CharStyle8"/>
    <w:pPr>
      <w:widowControl w:val="0"/>
      <w:shd w:val="clear" w:color="auto" w:fill="FFFFFF"/>
      <w:spacing w:before="1440" w:line="322" w:lineRule="exact"/>
      <w:ind w:firstLine="4380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9">
    <w:name w:val="Заголовок №1"/>
    <w:basedOn w:val="Normal"/>
    <w:link w:val="CharStyle10"/>
    <w:pPr>
      <w:widowControl w:val="0"/>
      <w:shd w:val="clear" w:color="auto" w:fill="FFFFFF"/>
      <w:outlineLvl w:val="0"/>
      <w:spacing w:before="300" w:after="420" w:line="0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1">
    <w:name w:val="Основной текст (3)"/>
    <w:basedOn w:val="Normal"/>
    <w:link w:val="CharStyle12"/>
    <w:pPr>
      <w:widowControl w:val="0"/>
      <w:shd w:val="clear" w:color="auto" w:fill="FFFFFF"/>
      <w:jc w:val="both"/>
      <w:spacing w:before="2340" w:line="0" w:lineRule="exact"/>
    </w:pPr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