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30" w:left="2911" w:right="8012" w:bottom="959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7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111" w:line="340" w:lineRule="exact"/>
        <w:ind w:left="220" w:right="0" w:firstLine="0"/>
      </w:pPr>
      <w:bookmarkStart w:id="0" w:name="bookmark0"/>
      <w:r>
        <w:rPr>
          <w:rStyle w:val="CharStyle9"/>
          <w:lang w:val="ru-RU" w:eastAsia="ru-RU" w:bidi="ru-RU"/>
          <w:b/>
          <w:bCs/>
          <w:i/>
          <w:iCs/>
        </w:rPr>
        <w:t>£1ЖММ</w:t>
      </w:r>
      <w:r>
        <w:rPr>
          <w:rStyle w:val="CharStyle10"/>
          <w:b w:val="0"/>
          <w:bCs w:val="0"/>
          <w:i w:val="0"/>
          <w:iCs w:val="0"/>
        </w:rPr>
        <w:t xml:space="preserve"> </w:t>
      </w:r>
      <w:r>
        <w:rPr>
          <w:rStyle w:val="CharStyle11"/>
          <w:b w:val="0"/>
          <w:bCs w:val="0"/>
          <w:i w:val="0"/>
          <w:iCs w:val="0"/>
        </w:rPr>
        <w:t xml:space="preserve">№ </w:t>
      </w:r>
      <w:r>
        <w:rPr>
          <w:rStyle w:val="CharStyle9"/>
          <w:b/>
          <w:bCs/>
          <w:i/>
          <w:iCs/>
        </w:rPr>
        <w:t>0£-9\</w:t>
      </w:r>
      <w:bookmarkEnd w:id="0"/>
    </w:p>
    <w:p>
      <w:pPr>
        <w:pStyle w:val="Style12"/>
        <w:tabs>
          <w:tab w:leader="none" w:pos="2138" w:val="center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«Интуравто» пр. Ленина, д. 32,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20"/>
        <w:ind w:left="20" w:right="10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Волгоград, 400005 </w:t>
      </w:r>
      <w:r>
        <w:fldChar w:fldCharType="begin"/>
      </w:r>
      <w:r>
        <w:rPr>
          <w:color w:val="000000"/>
        </w:rPr>
        <w:instrText> HYPERLINK "mailto:intourauto@mail.ru"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intourauto@mail.ru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Комитет образования, науки и молодежной политики Волгоградской области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120"/>
        <w:ind w:left="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Огарева, д. 6 Волгоград, 400074 </w:t>
      </w:r>
      <w:r>
        <w:fldChar w:fldCharType="begin"/>
      </w:r>
      <w:r>
        <w:rPr>
          <w:color w:val="000000"/>
        </w:rPr>
        <w:instrText> HYPERLINK "mailto:t_avramova@volganet.ru"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t_avramova@volganet.ru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Комитет по регулированию контрактной системы в сфере закупок Волгоградской области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0"/>
        <w:sectPr>
          <w:type w:val="continuous"/>
          <w:pgSz w:w="11906" w:h="16838"/>
          <w:pgMar w:top="930" w:left="1432" w:right="1367" w:bottom="959" w:header="0" w:footer="3" w:gutter="0"/>
          <w:rtlGutter w:val="0"/>
          <w:cols w:num="2" w:space="720" w:equalWidth="0">
            <w:col w:w="3992" w:space="569"/>
            <w:col w:w="454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Новороссийская, д. 15 Волгоград, 400066 </w:t>
      </w: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widowControl w:val="0"/>
        <w:spacing w:line="20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7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«ЭТС»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660"/>
        <w:ind w:left="4720" w:right="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9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034/06/105-72/2021 о нарушении законодательства о контрактной системе</w:t>
      </w:r>
    </w:p>
    <w:p>
      <w:pPr>
        <w:pStyle w:val="Style16"/>
        <w:tabs>
          <w:tab w:leader="none" w:pos="929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5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 февраля 2021 года</w:t>
        <w:tab/>
        <w:t>Волгоград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Литвинова Р.А.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Субботина А.А. - члена Комиссии, главного специалиста-эксперта отдела контроля государственных и муниципальных закупок, недобросовестной конкуренции и рекламы;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720" w:right="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Слащевой М.Л. - члена Комиссии, помощника руководителя Управления, с участием: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Журавской С.В. . - представителя ООО «Интуравто» по доверенности от 03.02.2021 №25;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Аврамовой Т.Б. - представителя Комитета образования, науки и молодежной политики Волгоградской области по доверенности от 16.09.2020 № И-19/9769;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Зуевой Е.Н. - представителя комитета по регулированию контрактной системы в сфере закупок Волгоградской области по доверенности от 08.11.2019 </w:t>
      </w:r>
      <w:r>
        <w:rPr>
          <w:rStyle w:val="CharStyle18"/>
        </w:rPr>
        <w:t xml:space="preserve">№ </w:t>
      </w:r>
      <w:r>
        <w:rPr>
          <w:rStyle w:val="CharStyle19"/>
        </w:rPr>
        <w:t>12</w:t>
      </w:r>
      <w:r>
        <w:rPr>
          <w:rStyle w:val="CharStyle18"/>
        </w:rPr>
        <w:t>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98" w:line="302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«Интуравто» (далее - Заявитель) на действия конкурсной комиссии при проведении закупки «Закупка путевок в санаторно- курортные организации детям-инвалидам, больным ДЦП, с выраженными нарушениями опорно-двигательного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Геленджик в 2021 году» (номер извещения 0129200005320002174)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62" w:line="230" w:lineRule="exact"/>
        <w:ind w:left="4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29.01.2021 вх. № 806 поступила жалоба ООО «Интуравто» (далее - Заявитель) на действия конкурсной комиссии при проведении закупки «Закупка путевок в санаторно-курортные организации детям-инвалидам, больным ДЦП, с выраженными нарушениями опорно-двигательного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Геленджик в 2021 году» (номер извещения 0129200005320002174).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 конкурсной комиссией необоснованно не был учтен опыт ООО «Интуравто» по ранее исполненным контрактам, что является нарушением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Выслушав доводы сторон, ознакомившись с представленными документами, и проведя внеплановую проверку в соответствии с ч. 15 ст. 99 Закона о контрактной системе, комиссия Управления пришла к следующим выводам.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(далее - ЕИС) было опубликовано извещение о проведении открытого конкурса в электронной форме «Закупка путевок в санаторно-курортные организации детям-сиротам, детям, оставшимся без попечения родителей, детям-инвалидам и безнадзорным детям,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Геленджик, в 2021 году» (номер извещения 0129200005320002174), начальная (максимальная) цена контракта - 11 750 250,00 рублей.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6 ст. 54.4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документы, в частности: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документы, подтверждающие квалификацию участника открытого конкурса в электронной форме.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указанной нормой, в п. 27 Информационной карты документации открытого конкурса в электронной форме установлены требования по содержанию во второй части заявки информации и документов, а именно, среди которых: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документы, подтверждающие квалификацию участника конкурса в электронной форме. Отсутствие этих документов не является основанием для признания заявки на участие в конкурсе в электронной форме не соответствующей требованиям документации о таком конкурс.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Критерии и порядок оценки заявок на участие в конкурсе в электронной форме содержатся в Приложении № 1 к Разделу 2 «Информационная карта конкурса в электронной форме», в котором установлена оценка заявок по нестоимостным критериям оценки: 4. Оценка заявок по нестоимостным критериям оценки.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4.1. Критерий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(коэффициент значимости 0,6).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80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Оценка заявок на участие в конкурсе в электронной форме по критерию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осуществляется с учетом следующих показателей:</w:t>
      </w:r>
    </w:p>
    <w:tbl>
      <w:tblPr>
        <w:tblOverlap w:val="never"/>
        <w:tblLayout w:type="fixed"/>
        <w:jc w:val="center"/>
      </w:tblPr>
      <w:tblGrid>
        <w:gridCol w:w="547"/>
        <w:gridCol w:w="5137"/>
        <w:gridCol w:w="1915"/>
        <w:gridCol w:w="1807"/>
      </w:tblGrid>
      <w:tr>
        <w:trPr>
          <w:trHeight w:val="23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200" w:lineRule="exact"/>
              <w:ind w:left="160" w:right="0" w:firstLine="0"/>
            </w:pPr>
            <w:r>
              <w:rPr>
                <w:rStyle w:val="CharStyle20"/>
              </w:rPr>
              <w:t>№</w:t>
            </w:r>
          </w:p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200" w:lineRule="exact"/>
              <w:ind w:left="160" w:right="0" w:firstLine="0"/>
            </w:pPr>
            <w:r>
              <w:rPr>
                <w:rStyle w:val="CharStyle20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8" w:lineRule="exact"/>
              <w:ind w:left="0" w:right="0" w:firstLine="0"/>
            </w:pPr>
            <w:r>
              <w:rPr>
                <w:rStyle w:val="CharStyle20"/>
              </w:rPr>
              <w:t>Показатель критерия "Квалификация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2" w:lineRule="exact"/>
              <w:ind w:left="0" w:right="0" w:firstLine="0"/>
            </w:pPr>
            <w:r>
              <w:rPr>
                <w:rStyle w:val="CharStyle20"/>
              </w:rPr>
              <w:t>Максимальное значение в баллах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9" w:lineRule="exact"/>
              <w:ind w:left="0" w:right="0" w:firstLine="0"/>
            </w:pPr>
            <w:r>
              <w:rPr>
                <w:rStyle w:val="CharStyle20"/>
              </w:rPr>
              <w:t>Значимость показателя (%)</w:t>
            </w:r>
          </w:p>
        </w:tc>
      </w:tr>
      <w:tr>
        <w:trPr>
          <w:trHeight w:val="52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80" w:right="0" w:firstLine="0"/>
            </w:pPr>
            <w:r>
              <w:rPr>
                <w:rStyle w:val="CharStyle21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52" w:lineRule="exact"/>
              <w:ind w:left="0" w:right="0" w:firstLine="0"/>
            </w:pPr>
            <w:r>
              <w:rPr>
                <w:rStyle w:val="CharStyle21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6"/>
              <w:framePr w:w="940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1"/>
              </w:rPr>
              <w:t>100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191" w:after="0" w:line="292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Предметом оценки по показателю - «Опыт участника по успешному оказанию услуг сопоставимого характера и объема» является количество исполненных контрактов и (или) договоров, заключенных с государственными или муниципальными заказчиками, за последние 3 года до даты окончания подачи заявок на участие в настоящем конкурсе в электронной форме, в которых содержится опыт по оказанию услуг по санаторно-курортному лечению.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к оценке будут приниматься контракты и (или) договоры, цена которых составляет не менее чем 8 200 000,00 рублей каждый.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качестве документов, подтверждающих опыт участника по успешному оказанию услуг сопоставимого характера и объема, (итоговое количество исполненных контрактов и (или) договоров), участник закупки предоставляет информацию в Таблице 1. Приложения № 3 Раздела 2 и копии исполненных контрактов и (или) договоров, включая все листы и приложения к ним (дополнительные соглашения (при наличии) и соглашения о расторжении (при наличии)) и копии актов выполненных работ и/или оказанных услуг (предоставленных).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случае отсутствия в составе заявки участника вышеуказанных копий документов, наличие предоставленной информации при определении показателя не учитывается.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«Интуавто» по показателю опыт участника по успешному оказанию услуг сопоставимого характера и объема, (итоговое количество исполненных контрактов и (или) договоров), было представлено 10 контрактов, из которых 6 контрактов (договоров) за 3 года, предшествующих дате окончания срока подачи заявок на участие в конкурсе в электронной форме, стоимость каждого из которых составляла не менее 8 200 000,00 рублей, с приложением документов в целях подтверждения выполнения работ были засчитаны договор № 02 от 15.02.2019, договор № 376-01 от 23.01.2020, договор № 567-03 от 07.05.2019,, договор № 719- 07 от 25.03.2019, договор № 877-02 от 20.05.2018, договор № 877-07 от 27.05.2018).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Контракты, по которым не предоставлены все подтверждающие документы, согласно условиям документации, не были учтены конкурсной комиссией.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настоящем случае конкурсной комиссией надлежащим образом выполнены требования Закона о контрактной системе, определяющие порядок рассмотрения заявок участников закупки, выводы членов единой комиссии основаны на требованиях документации о закупке, а также на нормах Закона о контрактной системе.</w:t>
      </w:r>
    </w:p>
    <w:p>
      <w:pPr>
        <w:pStyle w:val="Style16"/>
        <w:tabs>
          <w:tab w:leader="none" w:pos="3645" w:val="left"/>
          <w:tab w:leader="none" w:pos="8761" w:val="right"/>
          <w:tab w:leader="none" w:pos="935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жалоба ООО «Интуравто» на действия конкурсной комиссии при проведении закупки «Закупка путевок в санаторно- курортные организации детям-инвалидам, больным ДЦП, с выраженными нарушениями опорно-двигательного аппарата (в том числе, передвигающимся на колясках), нуждающимся в сопровождении одного из родителей (законных представителей), которым</w:t>
        <w:tab/>
        <w:t>показано санаторно-курортное</w:t>
        <w:tab/>
        <w:t>лечение</w:t>
        <w:tab/>
        <w:t>на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Черноморском побережье, курорт Геленджик в 2021 году» (номер извещения 0129200005320002174) является необоснованной.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Также, Заявителем обжалуются положения документации аукциона.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4 ст. 105 Закона о контрактной системе жалоба на положения документации о закупке может быть подана любым участником закупки до окончания установленного срока подачи заявок.</w:t>
      </w:r>
    </w:p>
    <w:p>
      <w:pPr>
        <w:pStyle w:val="Style16"/>
        <w:tabs>
          <w:tab w:leader="none" w:pos="3645" w:val="left"/>
          <w:tab w:leader="none" w:pos="9353" w:val="right"/>
          <w:tab w:leader="none" w:pos="93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</w:t>
        <w:tab/>
        <w:t>извещением о проведении</w:t>
        <w:tab/>
        <w:t>аукциона</w:t>
        <w:tab/>
        <w:t>№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0129200005320002174 срок подачи заявок до 14.01.2021.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«Интуравто» поступила в Управление 29.01.2021.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срок подачи жалобы на положения документации истек.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418" w:line="302" w:lineRule="exact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Управления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center"/>
        <w:spacing w:before="0" w:after="284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«Интуравто» на действия конкурсной комиссии при проведении закупки «Закупка путевок в санаторно-курортные организации детям-инвалидам, больным ДЦП, с выраженными нарушениями опорно</w:t>
        <w:softHyphen/>
        <w:t>двигательного аппарата (в том числе, передвигающимся на колясках), нуждающимся в сопровождении одного из родителей (законных представителей), которым показано санаторно-курортное лечение на Черноморском побережье, курорт Геленджик в 2021 году» (номер извещения 0129200005320002174) необоснованной.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895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Жалобу ООО «Интуравто» на положения документации оставить без рассмотрения.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10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5439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2" w:lineRule="exact"/>
        <w:ind w:left="40" w:right="1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Суббогин А.А. (8442) 24 22 64</w:t>
      </w:r>
      <w:r>
        <w:br w:type="page"/>
      </w:r>
    </w:p>
    <w:sectPr>
      <w:type w:val="continuous"/>
      <w:pgSz w:w="11906" w:h="16838"/>
      <w:pgMar w:top="1439" w:left="1260" w:right="1231" w:bottom="9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Palatino Linotype" w:eastAsia="Palatino Linotype" w:hAnsi="Palatino Linotype" w:cs="Palatino Linotype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5"/>
      <w:szCs w:val="15"/>
      <w:rFonts w:ascii="Palatino Linotype" w:eastAsia="Palatino Linotype" w:hAnsi="Palatino Linotype" w:cs="Palatino Linotype"/>
    </w:rPr>
  </w:style>
  <w:style w:type="character" w:customStyle="1" w:styleId="CharStyle8">
    <w:name w:val="Заголовок №1_"/>
    <w:basedOn w:val="DefaultParagraphFont"/>
    <w:link w:val="Style7"/>
    <w:rPr>
      <w:b/>
      <w:bCs/>
      <w:i/>
      <w:iCs/>
      <w:u w:val="none"/>
      <w:strike w:val="0"/>
      <w:smallCaps w:val="0"/>
      <w:sz w:val="34"/>
      <w:szCs w:val="34"/>
      <w:rFonts w:ascii="Palatino Linotype" w:eastAsia="Palatino Linotype" w:hAnsi="Palatino Linotype" w:cs="Palatino Linotype"/>
      <w:spacing w:val="-20"/>
    </w:rPr>
  </w:style>
  <w:style w:type="character" w:customStyle="1" w:styleId="CharStyle9">
    <w:name w:val="Заголовок №1"/>
    <w:basedOn w:val="CharStyle8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0">
    <w:name w:val="Заголовок №1 + 11 pt,Не полужирный,Не курсив,Интервал 0 pt"/>
    <w:basedOn w:val="CharStyle8"/>
    <w:rPr>
      <w:lang w:val="ru-RU" w:eastAsia="ru-RU" w:bidi="ru-RU"/>
      <w:b/>
      <w:bCs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Заголовок №1 + 11 pt,Не полужирный,Не курсив,Интервал 0 pt"/>
    <w:basedOn w:val="CharStyle8"/>
    <w:rPr>
      <w:lang w:val="ru-RU" w:eastAsia="ru-RU" w:bidi="ru-RU"/>
      <w:b/>
      <w:bCs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9"/>
      <w:szCs w:val="19"/>
      <w:rFonts w:ascii="Palatino Linotype" w:eastAsia="Palatino Linotype" w:hAnsi="Palatino Linotype" w:cs="Palatino Linotype"/>
    </w:rPr>
  </w:style>
  <w:style w:type="character" w:customStyle="1" w:styleId="CharStyle15">
    <w:name w:val="Основной текст (5)_"/>
    <w:basedOn w:val="DefaultParagraphFont"/>
    <w:link w:val="Style1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3"/>
      <w:szCs w:val="23"/>
      <w:rFonts w:ascii="Palatino Linotype" w:eastAsia="Palatino Linotype" w:hAnsi="Palatino Linotype" w:cs="Palatino Linotype"/>
    </w:rPr>
  </w:style>
  <w:style w:type="character" w:customStyle="1" w:styleId="CharStyle18">
    <w:name w:val="Основной текст + Times New Roman,12 pt"/>
    <w:basedOn w:val="CharStyle17"/>
    <w:rPr>
      <w:lang w:val="ru-RU" w:eastAsia="ru-RU" w:bidi="ru-R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9">
    <w:name w:val="Основной текст + Times New Roman,12 pt"/>
    <w:basedOn w:val="CharStyle17"/>
    <w:rPr>
      <w:lang w:val="ru-RU" w:eastAsia="ru-RU" w:bidi="ru-RU"/>
      <w:sz w:val="24"/>
      <w:szCs w:val="2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20">
    <w:name w:val="Основной текст + 10 pt,Полужирный"/>
    <w:basedOn w:val="CharStyle17"/>
    <w:rPr>
      <w:lang w:val="ru-RU" w:eastAsia="ru-RU" w:bidi="ru-RU"/>
      <w:b/>
      <w:bCs/>
      <w:sz w:val="20"/>
      <w:szCs w:val="20"/>
      <w:w w:val="100"/>
      <w:spacing w:val="0"/>
      <w:color w:val="000000"/>
      <w:position w:val="0"/>
    </w:rPr>
  </w:style>
  <w:style w:type="character" w:customStyle="1" w:styleId="CharStyle21">
    <w:name w:val="Основной текст + 9,5 pt"/>
    <w:basedOn w:val="CharStyle17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48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80" w:line="209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Palatino Linotype" w:eastAsia="Palatino Linotype" w:hAnsi="Palatino Linotype" w:cs="Palatino Linotype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180" w:after="180" w:line="0" w:lineRule="exact"/>
    </w:pPr>
    <w:rPr>
      <w:b/>
      <w:bCs/>
      <w:i/>
      <w:iCs/>
      <w:u w:val="none"/>
      <w:strike w:val="0"/>
      <w:smallCaps w:val="0"/>
      <w:sz w:val="34"/>
      <w:szCs w:val="34"/>
      <w:rFonts w:ascii="Palatino Linotype" w:eastAsia="Palatino Linotype" w:hAnsi="Palatino Linotype" w:cs="Palatino Linotype"/>
      <w:spacing w:val="-2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Palatino Linotype" w:eastAsia="Palatino Linotype" w:hAnsi="Palatino Linotype" w:cs="Palatino Linotype"/>
    </w:rPr>
  </w:style>
  <w:style w:type="paragraph" w:customStyle="1" w:styleId="Style14">
    <w:name w:val="Основной текст (5)"/>
    <w:basedOn w:val="Normal"/>
    <w:link w:val="CharStyle15"/>
    <w:pPr>
      <w:widowControl w:val="0"/>
      <w:shd w:val="clear" w:color="auto" w:fill="FFFFFF"/>
      <w:spacing w:line="29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line="299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Palatino Linotype" w:eastAsia="Palatino Linotype" w:hAnsi="Palatino Linotype" w:cs="Palatino Linotyp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